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126FB">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126FB">
        <w:rPr>
          <w:b/>
          <w:kern w:val="32"/>
          <w:sz w:val="28"/>
          <w:szCs w:val="28"/>
        </w:rPr>
        <w:t>042-25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2307EB"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126FB">
              <w:rPr>
                <w:bCs/>
                <w:sz w:val="20"/>
                <w:szCs w:val="20"/>
              </w:rPr>
              <w:t>лекарственных препаратов для лечения нервной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9126FB" w:rsidP="00C937AF">
            <w:pPr>
              <w:ind w:firstLine="170"/>
              <w:jc w:val="both"/>
              <w:rPr>
                <w:sz w:val="20"/>
                <w:szCs w:val="20"/>
              </w:rPr>
            </w:pPr>
            <w:r w:rsidRPr="009126FB">
              <w:rPr>
                <w:sz w:val="20"/>
                <w:szCs w:val="20"/>
              </w:rPr>
              <w:t>21.20.10.230</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2718B1" w:rsidP="004448C3">
            <w:pPr>
              <w:autoSpaceDE w:val="0"/>
              <w:autoSpaceDN w:val="0"/>
              <w:adjustRightInd w:val="0"/>
              <w:ind w:firstLine="170"/>
              <w:jc w:val="both"/>
              <w:rPr>
                <w:sz w:val="20"/>
                <w:szCs w:val="20"/>
              </w:rPr>
            </w:pPr>
            <w:r>
              <w:rPr>
                <w:sz w:val="20"/>
                <w:szCs w:val="20"/>
              </w:rPr>
              <w:t>31</w:t>
            </w:r>
            <w:r w:rsidR="009126FB">
              <w:rPr>
                <w:sz w:val="20"/>
                <w:szCs w:val="20"/>
              </w:rPr>
              <w:t>7</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2718B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w:t>
            </w:r>
            <w:r w:rsidRPr="002718B1">
              <w:rPr>
                <w:sz w:val="20"/>
                <w:szCs w:val="20"/>
              </w:rPr>
              <w:t xml:space="preserve">момента подписания договора по </w:t>
            </w:r>
            <w:r w:rsidR="002718B1" w:rsidRPr="002718B1">
              <w:rPr>
                <w:sz w:val="20"/>
                <w:szCs w:val="20"/>
              </w:rPr>
              <w:t>31.03.2026</w:t>
            </w:r>
            <w:r w:rsidR="005241C4" w:rsidRPr="002718B1">
              <w:rPr>
                <w:sz w:val="20"/>
                <w:szCs w:val="20"/>
              </w:rPr>
              <w:t xml:space="preserve"> </w:t>
            </w:r>
            <w:r w:rsidRPr="002718B1">
              <w:rPr>
                <w:sz w:val="20"/>
                <w:szCs w:val="20"/>
              </w:rPr>
              <w:t>г. Поставка</w:t>
            </w:r>
            <w:r w:rsidRPr="00C960E6">
              <w:rPr>
                <w:sz w:val="20"/>
                <w:szCs w:val="20"/>
              </w:rPr>
              <w:t xml:space="preserve">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Цiфакт.хVi</w:t>
            </w:r>
            <w:proofErr w:type="spellEnd"/>
            <w:r w:rsidRPr="00C960E6">
              <w:rPr>
                <w:bCs/>
                <w:sz w:val="20"/>
                <w:szCs w:val="20"/>
              </w:rPr>
              <w:t xml:space="preserve"> , где </w:t>
            </w:r>
          </w:p>
          <w:p w:rsidR="007D21D8" w:rsidRPr="002307EB"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предложенную победителем (</w:t>
            </w:r>
            <w:r w:rsidRPr="002307EB">
              <w:rPr>
                <w:bCs/>
                <w:sz w:val="20"/>
                <w:szCs w:val="20"/>
              </w:rPr>
              <w:t xml:space="preserve">единственным участником) в заявке на участие в запросе котировок в электронной форме; </w:t>
            </w:r>
          </w:p>
          <w:p w:rsidR="007D21D8" w:rsidRPr="002307EB" w:rsidRDefault="007D21D8" w:rsidP="00C960E6">
            <w:pPr>
              <w:autoSpaceDE w:val="0"/>
              <w:autoSpaceDN w:val="0"/>
              <w:adjustRightInd w:val="0"/>
              <w:ind w:firstLine="170"/>
              <w:jc w:val="both"/>
              <w:rPr>
                <w:bCs/>
                <w:sz w:val="20"/>
                <w:szCs w:val="20"/>
              </w:rPr>
            </w:pPr>
            <w:proofErr w:type="spellStart"/>
            <w:r w:rsidRPr="002307EB">
              <w:rPr>
                <w:bCs/>
                <w:sz w:val="20"/>
                <w:szCs w:val="20"/>
              </w:rPr>
              <w:t>Цi</w:t>
            </w:r>
            <w:proofErr w:type="spellEnd"/>
            <w:r w:rsidRPr="002307EB">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2307EB" w:rsidRDefault="007D21D8" w:rsidP="00C960E6">
            <w:pPr>
              <w:tabs>
                <w:tab w:val="left" w:pos="6022"/>
              </w:tabs>
              <w:ind w:right="72" w:firstLine="170"/>
              <w:jc w:val="both"/>
              <w:rPr>
                <w:bCs/>
                <w:sz w:val="20"/>
                <w:szCs w:val="20"/>
              </w:rPr>
            </w:pPr>
            <w:proofErr w:type="spellStart"/>
            <w:r w:rsidRPr="002307EB">
              <w:rPr>
                <w:bCs/>
                <w:sz w:val="20"/>
                <w:szCs w:val="20"/>
              </w:rPr>
              <w:t>Vi</w:t>
            </w:r>
            <w:proofErr w:type="spellEnd"/>
            <w:r w:rsidRPr="002307EB">
              <w:rPr>
                <w:bCs/>
                <w:sz w:val="20"/>
                <w:szCs w:val="20"/>
              </w:rPr>
              <w:t>-  количество</w:t>
            </w:r>
            <w:r w:rsidR="00124EEA" w:rsidRPr="002307EB">
              <w:rPr>
                <w:bCs/>
                <w:sz w:val="20"/>
                <w:szCs w:val="20"/>
              </w:rPr>
              <w:t xml:space="preserve"> </w:t>
            </w:r>
            <w:r w:rsidRPr="002307EB">
              <w:rPr>
                <w:bCs/>
                <w:sz w:val="20"/>
                <w:szCs w:val="20"/>
              </w:rPr>
              <w:t>товара по отдельному факту поставки.</w:t>
            </w:r>
          </w:p>
          <w:p w:rsidR="007D21D8" w:rsidRPr="002307EB" w:rsidRDefault="007D21D8" w:rsidP="00C960E6">
            <w:pPr>
              <w:tabs>
                <w:tab w:val="left" w:pos="6022"/>
              </w:tabs>
              <w:ind w:right="72" w:firstLine="170"/>
              <w:jc w:val="both"/>
              <w:rPr>
                <w:rFonts w:eastAsia="Lucida Sans Unicode"/>
                <w:b/>
                <w:sz w:val="20"/>
                <w:szCs w:val="20"/>
              </w:rPr>
            </w:pPr>
            <w:r w:rsidRPr="002307EB">
              <w:rPr>
                <w:rFonts w:eastAsia="Lucida Sans Unicode"/>
                <w:b/>
                <w:sz w:val="20"/>
                <w:szCs w:val="20"/>
              </w:rPr>
              <w:t>Максимальное значение цены договора:</w:t>
            </w:r>
          </w:p>
          <w:p w:rsidR="007D21D8" w:rsidRPr="00C960E6" w:rsidRDefault="00F74D59" w:rsidP="005844E5">
            <w:pPr>
              <w:tabs>
                <w:tab w:val="left" w:pos="6022"/>
              </w:tabs>
              <w:ind w:right="72" w:firstLine="170"/>
              <w:jc w:val="both"/>
              <w:rPr>
                <w:sz w:val="20"/>
                <w:szCs w:val="20"/>
              </w:rPr>
            </w:pPr>
            <w:r w:rsidRPr="002307EB">
              <w:rPr>
                <w:sz w:val="20"/>
                <w:szCs w:val="20"/>
              </w:rPr>
              <w:t>100 256,24</w:t>
            </w:r>
            <w:r w:rsidR="006F1D63" w:rsidRPr="002307EB">
              <w:rPr>
                <w:sz w:val="20"/>
                <w:szCs w:val="20"/>
              </w:rPr>
              <w:t xml:space="preserve"> руб. (сто тысяч </w:t>
            </w:r>
            <w:r w:rsidRPr="002307EB">
              <w:rPr>
                <w:sz w:val="20"/>
                <w:szCs w:val="20"/>
              </w:rPr>
              <w:t>двести пятьдесят шесть рублей 24 копейки</w:t>
            </w:r>
            <w:r w:rsidR="006F1D63" w:rsidRPr="002307EB">
              <w:rPr>
                <w:sz w:val="20"/>
                <w:szCs w:val="20"/>
              </w:rPr>
              <w:t>)</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2718B1">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2718B1">
              <w:rPr>
                <w:b/>
                <w:sz w:val="20"/>
                <w:szCs w:val="20"/>
              </w:rPr>
              <w:t>10</w:t>
            </w:r>
            <w:r w:rsidRPr="00C960E6">
              <w:rPr>
                <w:b/>
                <w:sz w:val="20"/>
                <w:szCs w:val="20"/>
              </w:rPr>
              <w:t>»</w:t>
            </w:r>
            <w:r w:rsidR="00B22A97" w:rsidRPr="00C960E6">
              <w:rPr>
                <w:b/>
                <w:sz w:val="20"/>
                <w:szCs w:val="20"/>
              </w:rPr>
              <w:t xml:space="preserve"> </w:t>
            </w:r>
            <w:r w:rsidR="002718B1">
              <w:rPr>
                <w:b/>
                <w:sz w:val="20"/>
                <w:szCs w:val="20"/>
              </w:rPr>
              <w:t>марта</w:t>
            </w:r>
            <w:r w:rsidR="00C937AF">
              <w:rPr>
                <w:b/>
                <w:sz w:val="20"/>
                <w:szCs w:val="20"/>
              </w:rPr>
              <w:t xml:space="preserve"> 2025</w:t>
            </w:r>
            <w:r w:rsidRPr="00C960E6">
              <w:rPr>
                <w:b/>
                <w:sz w:val="20"/>
                <w:szCs w:val="20"/>
              </w:rPr>
              <w:t xml:space="preserve"> года по «</w:t>
            </w:r>
            <w:r w:rsidR="002718B1">
              <w:rPr>
                <w:b/>
                <w:sz w:val="20"/>
                <w:szCs w:val="20"/>
              </w:rPr>
              <w:t>17</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2718B1">
              <w:rPr>
                <w:sz w:val="20"/>
                <w:szCs w:val="20"/>
              </w:rPr>
              <w:t>10</w:t>
            </w:r>
            <w:r w:rsidR="00543ADA" w:rsidRPr="00C960E6">
              <w:rPr>
                <w:sz w:val="20"/>
                <w:szCs w:val="20"/>
              </w:rPr>
              <w:t>»</w:t>
            </w:r>
            <w:r w:rsidR="00F01E31" w:rsidRPr="00C960E6">
              <w:rPr>
                <w:sz w:val="20"/>
                <w:szCs w:val="20"/>
              </w:rPr>
              <w:t xml:space="preserve"> </w:t>
            </w:r>
            <w:r w:rsidR="002718B1">
              <w:rPr>
                <w:sz w:val="20"/>
                <w:szCs w:val="20"/>
              </w:rPr>
              <w:t xml:space="preserve">марта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2718B1">
            <w:pPr>
              <w:ind w:firstLine="170"/>
              <w:jc w:val="both"/>
              <w:rPr>
                <w:sz w:val="20"/>
                <w:szCs w:val="20"/>
              </w:rPr>
            </w:pPr>
            <w:r w:rsidRPr="00C960E6">
              <w:rPr>
                <w:bCs/>
                <w:sz w:val="20"/>
                <w:szCs w:val="20"/>
              </w:rPr>
              <w:t>«</w:t>
            </w:r>
            <w:r w:rsidR="002718B1">
              <w:rPr>
                <w:bCs/>
                <w:sz w:val="20"/>
                <w:szCs w:val="20"/>
              </w:rPr>
              <w:t>17</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F74D59" w:rsidP="00C960E6">
            <w:pPr>
              <w:shd w:val="clear" w:color="auto" w:fill="FFFFFF"/>
              <w:tabs>
                <w:tab w:val="left" w:pos="1701"/>
                <w:tab w:val="left" w:pos="2127"/>
              </w:tabs>
              <w:ind w:firstLine="176"/>
              <w:jc w:val="both"/>
              <w:rPr>
                <w:b/>
                <w:sz w:val="20"/>
                <w:szCs w:val="20"/>
              </w:rPr>
            </w:pPr>
            <w:r w:rsidRPr="002307EB">
              <w:rPr>
                <w:b/>
                <w:sz w:val="20"/>
                <w:szCs w:val="20"/>
              </w:rPr>
              <w:t>3 007,69</w:t>
            </w:r>
            <w:r w:rsidR="007C54B5" w:rsidRPr="002307EB">
              <w:rPr>
                <w:b/>
                <w:sz w:val="20"/>
                <w:szCs w:val="20"/>
              </w:rPr>
              <w:t xml:space="preserve"> руб. (три тысячи </w:t>
            </w:r>
            <w:r w:rsidRPr="002307EB">
              <w:rPr>
                <w:b/>
                <w:sz w:val="20"/>
                <w:szCs w:val="20"/>
              </w:rPr>
              <w:t>семь рублей 69</w:t>
            </w:r>
            <w:r w:rsidR="007C54B5" w:rsidRPr="002307EB">
              <w:rPr>
                <w:b/>
                <w:sz w:val="20"/>
                <w:szCs w:val="20"/>
              </w:rPr>
              <w:t xml:space="preserve">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126FB">
              <w:rPr>
                <w:sz w:val="20"/>
                <w:szCs w:val="20"/>
                <w:u w:val="single"/>
              </w:rPr>
              <w:t>042-25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lastRenderedPageBreak/>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xml:space="preserve">, с предварительным извещением </w:t>
            </w:r>
            <w:bookmarkStart w:id="0" w:name="_GoBack"/>
            <w:bookmarkEnd w:id="0"/>
            <w:r w:rsidR="0066255C" w:rsidRPr="00C960E6">
              <w:rPr>
                <w:rFonts w:ascii="Times New Roman" w:hAnsi="Times New Roman" w:cs="Times New Roman"/>
                <w:color w:val="auto"/>
                <w:sz w:val="20"/>
                <w:szCs w:val="20"/>
              </w:rPr>
              <w:t>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44985">
            <w:pPr>
              <w:ind w:firstLine="170"/>
              <w:jc w:val="both"/>
              <w:rPr>
                <w:sz w:val="20"/>
                <w:szCs w:val="20"/>
              </w:rPr>
            </w:pPr>
            <w:r w:rsidRPr="00C960E6">
              <w:rPr>
                <w:sz w:val="20"/>
                <w:szCs w:val="20"/>
              </w:rPr>
              <w:t>«</w:t>
            </w:r>
            <w:r w:rsidR="00644985">
              <w:rPr>
                <w:sz w:val="20"/>
                <w:szCs w:val="20"/>
              </w:rPr>
              <w:t>1</w:t>
            </w:r>
            <w:r w:rsidR="00644985">
              <w:rPr>
                <w:sz w:val="20"/>
                <w:szCs w:val="20"/>
                <w:lang w:val="en-GB"/>
              </w:rPr>
              <w:t>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44985">
            <w:pPr>
              <w:ind w:firstLine="170"/>
              <w:jc w:val="both"/>
              <w:rPr>
                <w:b/>
                <w:sz w:val="20"/>
                <w:szCs w:val="20"/>
              </w:rPr>
            </w:pPr>
            <w:r w:rsidRPr="00C960E6">
              <w:rPr>
                <w:b/>
                <w:sz w:val="20"/>
                <w:szCs w:val="20"/>
              </w:rPr>
              <w:t>«</w:t>
            </w:r>
            <w:r w:rsidR="00644985">
              <w:rPr>
                <w:b/>
                <w:sz w:val="20"/>
                <w:szCs w:val="20"/>
              </w:rPr>
              <w:t>17</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 (подп.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 xml:space="preserve">Установлены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05020C" w:rsidP="00A24543">
      <w:pPr>
        <w:jc w:val="right"/>
        <w:rPr>
          <w:b/>
          <w:bCs/>
          <w:sz w:val="20"/>
          <w:szCs w:val="20"/>
        </w:rPr>
      </w:pPr>
      <w:r>
        <w:rPr>
          <w:b/>
          <w:bCs/>
          <w:sz w:val="20"/>
          <w:szCs w:val="20"/>
        </w:rPr>
        <w:br w:type="page"/>
      </w:r>
      <w:r w:rsidR="00781D29"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126FB">
        <w:rPr>
          <w:b/>
          <w:kern w:val="32"/>
          <w:sz w:val="20"/>
          <w:szCs w:val="20"/>
        </w:rPr>
        <w:t>042-25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126FB">
        <w:rPr>
          <w:b/>
          <w:bCs/>
          <w:sz w:val="20"/>
        </w:rPr>
        <w:t>лекарственных препаратов для лечения нервной системы</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6F1D63" w:rsidTr="00351E41">
        <w:trPr>
          <w:trHeight w:val="20"/>
          <w:jc w:val="center"/>
        </w:trPr>
        <w:tc>
          <w:tcPr>
            <w:tcW w:w="224" w:type="pct"/>
            <w:shd w:val="clear" w:color="auto" w:fill="auto"/>
            <w:vAlign w:val="center"/>
          </w:tcPr>
          <w:p w:rsidR="00E95738" w:rsidRPr="006F1D63" w:rsidRDefault="00E95738" w:rsidP="00331E01">
            <w:pPr>
              <w:tabs>
                <w:tab w:val="left" w:pos="0"/>
              </w:tabs>
              <w:jc w:val="center"/>
              <w:rPr>
                <w:b/>
                <w:sz w:val="18"/>
                <w:szCs w:val="18"/>
              </w:rPr>
            </w:pPr>
            <w:r w:rsidRPr="006F1D63">
              <w:rPr>
                <w:b/>
                <w:kern w:val="28"/>
                <w:sz w:val="18"/>
                <w:szCs w:val="18"/>
              </w:rPr>
              <w:t>№ п/п</w:t>
            </w:r>
          </w:p>
        </w:tc>
        <w:tc>
          <w:tcPr>
            <w:tcW w:w="985" w:type="pct"/>
            <w:shd w:val="clear" w:color="auto" w:fill="auto"/>
            <w:vAlign w:val="center"/>
          </w:tcPr>
          <w:p w:rsidR="00E95738" w:rsidRPr="006F1D63" w:rsidRDefault="00E95738" w:rsidP="00331E01">
            <w:pPr>
              <w:jc w:val="center"/>
              <w:rPr>
                <w:b/>
                <w:color w:val="000000"/>
                <w:sz w:val="18"/>
                <w:szCs w:val="18"/>
              </w:rPr>
            </w:pPr>
            <w:r w:rsidRPr="006F1D63">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6F1D63" w:rsidRDefault="00E95738" w:rsidP="00331E01">
            <w:pPr>
              <w:jc w:val="center"/>
              <w:rPr>
                <w:b/>
                <w:color w:val="000000"/>
                <w:sz w:val="18"/>
                <w:szCs w:val="18"/>
              </w:rPr>
            </w:pPr>
            <w:r w:rsidRPr="006F1D63">
              <w:rPr>
                <w:b/>
                <w:sz w:val="18"/>
                <w:szCs w:val="18"/>
                <w:lang w:eastAsia="en-US"/>
              </w:rPr>
              <w:t>Характеристика товара</w:t>
            </w:r>
          </w:p>
        </w:tc>
        <w:tc>
          <w:tcPr>
            <w:tcW w:w="295" w:type="pct"/>
            <w:vAlign w:val="center"/>
          </w:tcPr>
          <w:p w:rsidR="00E95738" w:rsidRPr="006F1D63" w:rsidRDefault="00E95738" w:rsidP="00331E01">
            <w:pPr>
              <w:jc w:val="center"/>
              <w:rPr>
                <w:b/>
                <w:color w:val="000000"/>
                <w:sz w:val="18"/>
                <w:szCs w:val="18"/>
              </w:rPr>
            </w:pPr>
            <w:r w:rsidRPr="006F1D63">
              <w:rPr>
                <w:b/>
                <w:bCs/>
                <w:sz w:val="18"/>
                <w:szCs w:val="18"/>
                <w:lang w:eastAsia="en-US"/>
              </w:rPr>
              <w:t>Ед. изм.</w:t>
            </w:r>
          </w:p>
        </w:tc>
        <w:tc>
          <w:tcPr>
            <w:tcW w:w="329" w:type="pct"/>
            <w:vAlign w:val="center"/>
          </w:tcPr>
          <w:p w:rsidR="00E95738" w:rsidRPr="006F1D63" w:rsidRDefault="00E95738" w:rsidP="00331E01">
            <w:pPr>
              <w:jc w:val="center"/>
              <w:rPr>
                <w:b/>
                <w:color w:val="000000"/>
                <w:sz w:val="18"/>
                <w:szCs w:val="18"/>
              </w:rPr>
            </w:pPr>
            <w:r w:rsidRPr="006F1D63">
              <w:rPr>
                <w:b/>
                <w:bCs/>
                <w:sz w:val="18"/>
                <w:szCs w:val="18"/>
                <w:lang w:eastAsia="en-US"/>
              </w:rPr>
              <w:t>Кол-во</w:t>
            </w:r>
          </w:p>
        </w:tc>
        <w:tc>
          <w:tcPr>
            <w:tcW w:w="761" w:type="pct"/>
            <w:vAlign w:val="center"/>
          </w:tcPr>
          <w:p w:rsidR="00E95738" w:rsidRPr="006F1D63" w:rsidRDefault="00C937AF" w:rsidP="00331E01">
            <w:pPr>
              <w:jc w:val="center"/>
              <w:rPr>
                <w:b/>
                <w:color w:val="000000"/>
                <w:sz w:val="18"/>
                <w:szCs w:val="18"/>
              </w:rPr>
            </w:pPr>
            <w:r w:rsidRPr="006F1D63">
              <w:rPr>
                <w:b/>
                <w:color w:val="000000"/>
                <w:sz w:val="18"/>
                <w:szCs w:val="18"/>
              </w:rPr>
              <w:t>Начальная (максимальная)</w:t>
            </w:r>
            <w:r w:rsidR="00E95738" w:rsidRPr="006F1D63">
              <w:rPr>
                <w:b/>
                <w:color w:val="000000"/>
                <w:sz w:val="18"/>
                <w:szCs w:val="18"/>
              </w:rPr>
              <w:t>цена за ед., руб.</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r w:rsidRPr="006F1D63">
              <w:rPr>
                <w:sz w:val="18"/>
                <w:szCs w:val="22"/>
              </w:rPr>
              <w:t>1</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bCs/>
                <w:sz w:val="18"/>
                <w:szCs w:val="22"/>
                <w:lang w:eastAsia="en-US"/>
              </w:rPr>
            </w:pPr>
            <w:proofErr w:type="spellStart"/>
            <w:r w:rsidRPr="006F1D63">
              <w:rPr>
                <w:color w:val="000000"/>
                <w:sz w:val="18"/>
                <w:szCs w:val="22"/>
              </w:rPr>
              <w:t>Вальпроевая</w:t>
            </w:r>
            <w:proofErr w:type="spellEnd"/>
            <w:r w:rsidRPr="006F1D63">
              <w:rPr>
                <w:color w:val="000000"/>
                <w:sz w:val="18"/>
                <w:szCs w:val="22"/>
              </w:rPr>
              <w:t xml:space="preserve"> кислота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 xml:space="preserve"> р-р для в/в введения 100 мг/мл 5мл- ампулы №</w:t>
            </w:r>
            <w:r w:rsidR="00331E01">
              <w:rPr>
                <w:color w:val="000000"/>
                <w:sz w:val="18"/>
                <w:szCs w:val="22"/>
              </w:rPr>
              <w:t xml:space="preserve"> </w:t>
            </w:r>
            <w:r w:rsidRPr="006F1D63">
              <w:rPr>
                <w:color w:val="000000"/>
                <w:sz w:val="18"/>
                <w:szCs w:val="22"/>
              </w:rPr>
              <w:t xml:space="preserve">5 </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proofErr w:type="spellStart"/>
            <w:r w:rsidRPr="006F1D63">
              <w:rPr>
                <w:sz w:val="18"/>
                <w:szCs w:val="22"/>
              </w:rPr>
              <w:t>Уп</w:t>
            </w:r>
            <w:proofErr w:type="spellEnd"/>
            <w:r w:rsidRPr="006F1D63">
              <w:rPr>
                <w:sz w:val="18"/>
                <w:szCs w:val="22"/>
              </w:rPr>
              <w:t>.</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48</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1 181,03</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r w:rsidRPr="006F1D63">
              <w:rPr>
                <w:sz w:val="18"/>
                <w:szCs w:val="22"/>
              </w:rPr>
              <w:t>2</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bCs/>
                <w:sz w:val="18"/>
                <w:szCs w:val="22"/>
                <w:lang w:eastAsia="en-US"/>
              </w:rPr>
            </w:pPr>
            <w:proofErr w:type="spellStart"/>
            <w:r w:rsidRPr="006F1D63">
              <w:rPr>
                <w:color w:val="000000"/>
                <w:sz w:val="18"/>
                <w:szCs w:val="22"/>
              </w:rPr>
              <w:t>Вальпроевая</w:t>
            </w:r>
            <w:proofErr w:type="spellEnd"/>
            <w:r w:rsidRPr="006F1D63">
              <w:rPr>
                <w:color w:val="000000"/>
                <w:sz w:val="18"/>
                <w:szCs w:val="22"/>
              </w:rPr>
              <w:t xml:space="preserve"> кислота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таблетки пролонгированного действия п/о 500 мг №</w:t>
            </w:r>
            <w:r w:rsidR="00331E01">
              <w:rPr>
                <w:color w:val="000000"/>
                <w:sz w:val="18"/>
                <w:szCs w:val="22"/>
              </w:rPr>
              <w:t xml:space="preserve"> </w:t>
            </w:r>
            <w:r w:rsidRPr="006F1D63">
              <w:rPr>
                <w:color w:val="000000"/>
                <w:sz w:val="18"/>
                <w:szCs w:val="22"/>
              </w:rPr>
              <w:t xml:space="preserve">30 </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proofErr w:type="spellStart"/>
            <w:r w:rsidRPr="006F1D63">
              <w:rPr>
                <w:sz w:val="18"/>
                <w:szCs w:val="22"/>
              </w:rPr>
              <w:t>Уп</w:t>
            </w:r>
            <w:proofErr w:type="spellEnd"/>
            <w:r w:rsidRPr="006F1D63">
              <w:rPr>
                <w:sz w:val="18"/>
                <w:szCs w:val="22"/>
              </w:rPr>
              <w:t>.</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65</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193,54</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r w:rsidRPr="006F1D63">
              <w:rPr>
                <w:sz w:val="18"/>
                <w:szCs w:val="22"/>
              </w:rPr>
              <w:t>3</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bCs/>
                <w:sz w:val="18"/>
                <w:szCs w:val="22"/>
                <w:lang w:eastAsia="en-US"/>
              </w:rPr>
            </w:pPr>
            <w:proofErr w:type="spellStart"/>
            <w:r w:rsidRPr="006F1D63">
              <w:rPr>
                <w:color w:val="000000"/>
                <w:sz w:val="18"/>
                <w:szCs w:val="22"/>
              </w:rPr>
              <w:t>Вальпроевая</w:t>
            </w:r>
            <w:proofErr w:type="spellEnd"/>
            <w:r w:rsidRPr="006F1D63">
              <w:rPr>
                <w:color w:val="000000"/>
                <w:sz w:val="18"/>
                <w:szCs w:val="22"/>
              </w:rPr>
              <w:t xml:space="preserve"> кислота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таблетки пролонгированного действия п/о 500 мг №</w:t>
            </w:r>
            <w:r w:rsidR="00331E01">
              <w:rPr>
                <w:color w:val="000000"/>
                <w:sz w:val="18"/>
                <w:szCs w:val="22"/>
              </w:rPr>
              <w:t xml:space="preserve"> </w:t>
            </w:r>
            <w:r w:rsidRPr="006F1D63">
              <w:rPr>
                <w:color w:val="000000"/>
                <w:sz w:val="18"/>
                <w:szCs w:val="22"/>
              </w:rPr>
              <w:t xml:space="preserve">30 </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proofErr w:type="spellStart"/>
            <w:r w:rsidRPr="006F1D63">
              <w:rPr>
                <w:sz w:val="18"/>
                <w:szCs w:val="22"/>
              </w:rPr>
              <w:t>Уп</w:t>
            </w:r>
            <w:proofErr w:type="spellEnd"/>
            <w:r w:rsidRPr="006F1D63">
              <w:rPr>
                <w:sz w:val="18"/>
                <w:szCs w:val="22"/>
              </w:rPr>
              <w:t>.</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50</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126,24</w:t>
            </w:r>
          </w:p>
        </w:tc>
      </w:tr>
      <w:tr w:rsidR="00F74D59" w:rsidRPr="006F1D63" w:rsidTr="00F74D59">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r w:rsidRPr="006F1D63">
              <w:rPr>
                <w:sz w:val="18"/>
                <w:szCs w:val="22"/>
              </w:rPr>
              <w:t>4</w:t>
            </w:r>
          </w:p>
        </w:tc>
        <w:tc>
          <w:tcPr>
            <w:tcW w:w="98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sz w:val="18"/>
                <w:szCs w:val="22"/>
              </w:rPr>
            </w:pPr>
            <w:proofErr w:type="spellStart"/>
            <w:r w:rsidRPr="006F1D63">
              <w:rPr>
                <w:color w:val="000000"/>
                <w:sz w:val="18"/>
                <w:szCs w:val="22"/>
              </w:rPr>
              <w:t>Агомелатин</w:t>
            </w:r>
            <w:proofErr w:type="spellEnd"/>
            <w:r w:rsidRPr="006F1D63">
              <w:rPr>
                <w:color w:val="000000"/>
                <w:sz w:val="18"/>
                <w:szCs w:val="22"/>
              </w:rPr>
              <w:t xml:space="preserve"> </w:t>
            </w:r>
          </w:p>
        </w:tc>
        <w:tc>
          <w:tcPr>
            <w:tcW w:w="2406"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rPr>
                <w:color w:val="000000"/>
                <w:sz w:val="18"/>
                <w:szCs w:val="22"/>
              </w:rPr>
            </w:pPr>
            <w:r w:rsidRPr="006F1D63">
              <w:rPr>
                <w:color w:val="000000"/>
                <w:sz w:val="18"/>
                <w:szCs w:val="22"/>
              </w:rPr>
              <w:t xml:space="preserve"> таблетки п/о 25 мг №</w:t>
            </w:r>
            <w:r w:rsidR="00331E01">
              <w:rPr>
                <w:color w:val="000000"/>
                <w:sz w:val="18"/>
                <w:szCs w:val="22"/>
              </w:rPr>
              <w:t xml:space="preserve"> </w:t>
            </w:r>
            <w:r w:rsidRPr="006F1D63">
              <w:rPr>
                <w:color w:val="000000"/>
                <w:sz w:val="18"/>
                <w:szCs w:val="22"/>
              </w:rPr>
              <w:t>28</w:t>
            </w:r>
          </w:p>
        </w:tc>
        <w:tc>
          <w:tcPr>
            <w:tcW w:w="295"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proofErr w:type="spellStart"/>
            <w:r w:rsidRPr="006F1D63">
              <w:rPr>
                <w:sz w:val="18"/>
                <w:szCs w:val="22"/>
              </w:rPr>
              <w:t>Уп</w:t>
            </w:r>
            <w:proofErr w:type="spellEnd"/>
            <w:r w:rsidRPr="006F1D63">
              <w:rPr>
                <w:sz w:val="18"/>
                <w:szCs w:val="22"/>
              </w:rPr>
              <w:t>.</w:t>
            </w:r>
          </w:p>
        </w:tc>
        <w:tc>
          <w:tcPr>
            <w:tcW w:w="329" w:type="pct"/>
            <w:tcBorders>
              <w:top w:val="single" w:sz="4" w:space="0" w:color="auto"/>
              <w:left w:val="single" w:sz="4" w:space="0" w:color="auto"/>
              <w:bottom w:val="single" w:sz="4" w:space="0" w:color="auto"/>
              <w:right w:val="single" w:sz="4" w:space="0" w:color="auto"/>
            </w:tcBorders>
          </w:tcPr>
          <w:p w:rsidR="00F74D59" w:rsidRPr="006F1D63" w:rsidRDefault="00F74D59" w:rsidP="00331E01">
            <w:pPr>
              <w:jc w:val="center"/>
              <w:rPr>
                <w:sz w:val="18"/>
                <w:szCs w:val="22"/>
              </w:rPr>
            </w:pPr>
            <w:r w:rsidRPr="006F1D63">
              <w:rPr>
                <w:sz w:val="18"/>
                <w:szCs w:val="22"/>
              </w:rPr>
              <w:t>15</w:t>
            </w:r>
          </w:p>
        </w:tc>
        <w:tc>
          <w:tcPr>
            <w:tcW w:w="761" w:type="pct"/>
            <w:tcBorders>
              <w:top w:val="nil"/>
              <w:left w:val="single" w:sz="4" w:space="0" w:color="auto"/>
              <w:bottom w:val="single" w:sz="4" w:space="0" w:color="auto"/>
              <w:right w:val="single" w:sz="4" w:space="0" w:color="auto"/>
            </w:tcBorders>
            <w:shd w:val="clear" w:color="auto" w:fill="auto"/>
          </w:tcPr>
          <w:p w:rsidR="00F74D59" w:rsidRPr="00F74D59" w:rsidRDefault="00F74D59" w:rsidP="00331E01">
            <w:pPr>
              <w:jc w:val="center"/>
              <w:rPr>
                <w:color w:val="000000"/>
                <w:sz w:val="18"/>
                <w:szCs w:val="22"/>
              </w:rPr>
            </w:pPr>
            <w:r w:rsidRPr="00F74D59">
              <w:rPr>
                <w:color w:val="000000"/>
                <w:sz w:val="18"/>
                <w:szCs w:val="22"/>
              </w:rPr>
              <w:t>1 644,98</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126FB">
        <w:rPr>
          <w:b/>
          <w:kern w:val="32"/>
          <w:sz w:val="20"/>
          <w:szCs w:val="20"/>
        </w:rPr>
        <w:t>042-25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9126FB">
        <w:rPr>
          <w:sz w:val="19"/>
          <w:szCs w:val="19"/>
        </w:rPr>
        <w:t>042-25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9126FB">
        <w:rPr>
          <w:b/>
          <w:bCs/>
          <w:sz w:val="19"/>
          <w:szCs w:val="19"/>
        </w:rPr>
        <w:t>лекарственных препаратов для лечения нервной системы</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126FB">
        <w:rPr>
          <w:rFonts w:ascii="Times New Roman" w:hAnsi="Times New Roman" w:cs="Times New Roman"/>
          <w:bCs/>
          <w:sz w:val="19"/>
          <w:szCs w:val="19"/>
        </w:rPr>
        <w:t>лекарственных препаратов для лечения нервной системы</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D6078">
        <w:rPr>
          <w:sz w:val="19"/>
          <w:szCs w:val="19"/>
        </w:rPr>
        <w:t>31.03.2026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307EB"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126FB">
        <w:rPr>
          <w:sz w:val="20"/>
          <w:szCs w:val="20"/>
        </w:rPr>
        <w:t>042-25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126FB">
        <w:rPr>
          <w:b/>
          <w:bCs/>
          <w:sz w:val="20"/>
        </w:rPr>
        <w:t>лекарственных препаратов для лечения нервной системы</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126FB">
        <w:rPr>
          <w:b/>
          <w:kern w:val="32"/>
          <w:sz w:val="20"/>
          <w:szCs w:val="20"/>
        </w:rPr>
        <w:t>042-25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126FB">
        <w:rPr>
          <w:bCs/>
          <w:sz w:val="20"/>
        </w:rPr>
        <w:t>лекарственных препаратов для лечения нервной системы</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126FB">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FB" w:rsidRDefault="009126FB" w:rsidP="00ED57EB">
      <w:r>
        <w:separator/>
      </w:r>
    </w:p>
  </w:endnote>
  <w:endnote w:type="continuationSeparator" w:id="0">
    <w:p w:rsidR="009126FB" w:rsidRDefault="009126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126FB" w:rsidRDefault="009126FB">
        <w:pPr>
          <w:pStyle w:val="af7"/>
          <w:jc w:val="right"/>
        </w:pPr>
        <w:r>
          <w:fldChar w:fldCharType="begin"/>
        </w:r>
        <w:r>
          <w:instrText xml:space="preserve"> PAGE   \* MERGEFORMAT </w:instrText>
        </w:r>
        <w:r>
          <w:fldChar w:fldCharType="separate"/>
        </w:r>
        <w:r w:rsidR="002307EB">
          <w:rPr>
            <w:noProof/>
          </w:rPr>
          <w:t>24</w:t>
        </w:r>
        <w:r>
          <w:rPr>
            <w:noProof/>
          </w:rPr>
          <w:fldChar w:fldCharType="end"/>
        </w:r>
      </w:p>
    </w:sdtContent>
  </w:sdt>
  <w:p w:rsidR="009126FB" w:rsidRDefault="009126F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FB" w:rsidRDefault="009126FB" w:rsidP="00ED57EB">
      <w:r>
        <w:separator/>
      </w:r>
    </w:p>
  </w:footnote>
  <w:footnote w:type="continuationSeparator" w:id="0">
    <w:p w:rsidR="009126FB" w:rsidRDefault="009126FB" w:rsidP="00ED57EB">
      <w:r>
        <w:continuationSeparator/>
      </w:r>
    </w:p>
  </w:footnote>
  <w:footnote w:id="1">
    <w:p w:rsidR="009126FB" w:rsidRPr="000966CA" w:rsidRDefault="009126F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7EB"/>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1E01"/>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1D63"/>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126FB"/>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0589"/>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4D59"/>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3B3A-C87D-4437-81A0-585C9588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12020</Words>
  <Characters>87608</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2025-03-10T10:19:00Z</cp:lastPrinted>
  <dcterms:created xsi:type="dcterms:W3CDTF">2025-03-10T07:49:00Z</dcterms:created>
  <dcterms:modified xsi:type="dcterms:W3CDTF">2025-03-10T10:19:00Z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