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555721">
        <w:rPr>
          <w:b/>
          <w:sz w:val="28"/>
          <w:szCs w:val="28"/>
        </w:rPr>
        <w:t>препаратов для лечения мочеполовой системы и половые гормоны</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555721">
        <w:rPr>
          <w:b/>
          <w:kern w:val="32"/>
          <w:sz w:val="28"/>
          <w:szCs w:val="28"/>
        </w:rPr>
        <w:t>171-24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555721"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555721">
              <w:rPr>
                <w:bCs/>
                <w:sz w:val="20"/>
                <w:szCs w:val="20"/>
              </w:rPr>
              <w:t>препаратов для лечения мочеполовой системы и половые гормоны</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555721" w:rsidP="00F43414">
            <w:pPr>
              <w:ind w:firstLine="170"/>
              <w:jc w:val="both"/>
              <w:rPr>
                <w:sz w:val="20"/>
                <w:szCs w:val="20"/>
              </w:rPr>
            </w:pPr>
            <w:r w:rsidRPr="00555721">
              <w:rPr>
                <w:sz w:val="20"/>
                <w:szCs w:val="20"/>
              </w:rPr>
              <w:t>21.20.10.170</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555721" w:rsidP="009652BC">
            <w:pPr>
              <w:autoSpaceDE w:val="0"/>
              <w:autoSpaceDN w:val="0"/>
              <w:adjustRightInd w:val="0"/>
              <w:ind w:firstLine="170"/>
              <w:jc w:val="both"/>
              <w:rPr>
                <w:sz w:val="20"/>
                <w:szCs w:val="20"/>
              </w:rPr>
            </w:pPr>
            <w:r>
              <w:rPr>
                <w:sz w:val="20"/>
                <w:szCs w:val="20"/>
              </w:rPr>
              <w:t>291</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180675" w:rsidP="008C3348">
            <w:pPr>
              <w:autoSpaceDE w:val="0"/>
              <w:autoSpaceDN w:val="0"/>
              <w:adjustRightInd w:val="0"/>
              <w:ind w:firstLine="170"/>
              <w:jc w:val="both"/>
              <w:rPr>
                <w:sz w:val="20"/>
                <w:szCs w:val="20"/>
              </w:rPr>
            </w:pPr>
            <w:r>
              <w:rPr>
                <w:sz w:val="20"/>
                <w:szCs w:val="20"/>
              </w:rPr>
              <w:t xml:space="preserve">Средства </w:t>
            </w:r>
            <w:r w:rsidR="00D120C1">
              <w:rPr>
                <w:sz w:val="20"/>
                <w:szCs w:val="20"/>
              </w:rPr>
              <w:t>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555721">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DA782B">
              <w:rPr>
                <w:sz w:val="20"/>
                <w:szCs w:val="20"/>
              </w:rPr>
              <w:t>31</w:t>
            </w:r>
            <w:r w:rsidR="009652BC">
              <w:rPr>
                <w:sz w:val="20"/>
                <w:szCs w:val="20"/>
              </w:rPr>
              <w:t>.0</w:t>
            </w:r>
            <w:r w:rsidR="00555721">
              <w:rPr>
                <w:sz w:val="20"/>
                <w:szCs w:val="20"/>
              </w:rPr>
              <w:t>3</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555721" w:rsidP="00FA76D7">
            <w:pPr>
              <w:tabs>
                <w:tab w:val="left" w:pos="6022"/>
              </w:tabs>
              <w:ind w:right="72" w:firstLine="170"/>
              <w:jc w:val="both"/>
              <w:rPr>
                <w:sz w:val="20"/>
                <w:szCs w:val="20"/>
              </w:rPr>
            </w:pPr>
            <w:r w:rsidRPr="00555721">
              <w:rPr>
                <w:sz w:val="20"/>
                <w:szCs w:val="20"/>
              </w:rPr>
              <w:t>205161,60 руб. (двести пять тысяч сто шестьдесят один рубль шестьдесят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555721">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555721">
              <w:rPr>
                <w:b/>
                <w:sz w:val="20"/>
                <w:szCs w:val="20"/>
              </w:rPr>
              <w:t>24</w:t>
            </w:r>
            <w:r w:rsidRPr="008024A7">
              <w:rPr>
                <w:b/>
                <w:sz w:val="20"/>
                <w:szCs w:val="20"/>
              </w:rPr>
              <w:t>»</w:t>
            </w:r>
            <w:r w:rsidR="00D814A8" w:rsidRPr="00D814A8">
              <w:rPr>
                <w:b/>
                <w:sz w:val="20"/>
                <w:szCs w:val="20"/>
              </w:rPr>
              <w:t xml:space="preserve"> </w:t>
            </w:r>
            <w:r w:rsidR="00555721">
              <w:rPr>
                <w:b/>
                <w:sz w:val="20"/>
                <w:szCs w:val="20"/>
              </w:rPr>
              <w:t xml:space="preserve">сентября </w:t>
            </w:r>
            <w:r w:rsidR="005241C4">
              <w:rPr>
                <w:b/>
                <w:sz w:val="20"/>
                <w:szCs w:val="20"/>
              </w:rPr>
              <w:t>2024</w:t>
            </w:r>
            <w:r w:rsidRPr="008024A7">
              <w:rPr>
                <w:b/>
                <w:sz w:val="20"/>
                <w:szCs w:val="20"/>
              </w:rPr>
              <w:t xml:space="preserve"> года по «</w:t>
            </w:r>
            <w:r w:rsidR="00555721">
              <w:rPr>
                <w:b/>
                <w:sz w:val="20"/>
                <w:szCs w:val="20"/>
              </w:rPr>
              <w:t>01</w:t>
            </w:r>
            <w:r w:rsidRPr="008024A7">
              <w:rPr>
                <w:b/>
                <w:sz w:val="20"/>
                <w:szCs w:val="20"/>
              </w:rPr>
              <w:t>»</w:t>
            </w:r>
            <w:r w:rsidR="003144A3">
              <w:rPr>
                <w:b/>
                <w:sz w:val="20"/>
                <w:szCs w:val="20"/>
              </w:rPr>
              <w:t xml:space="preserve"> </w:t>
            </w:r>
            <w:r w:rsidR="00555721">
              <w:rPr>
                <w:b/>
                <w:sz w:val="20"/>
                <w:szCs w:val="20"/>
              </w:rPr>
              <w:t>октября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E441FF">
              <w:rPr>
                <w:sz w:val="20"/>
                <w:szCs w:val="20"/>
              </w:rPr>
              <w:t>2</w:t>
            </w:r>
            <w:r w:rsidR="00555721">
              <w:rPr>
                <w:sz w:val="20"/>
                <w:szCs w:val="20"/>
              </w:rPr>
              <w:t>4</w:t>
            </w:r>
            <w:r w:rsidR="00543ADA">
              <w:rPr>
                <w:sz w:val="20"/>
                <w:szCs w:val="20"/>
              </w:rPr>
              <w:t>»</w:t>
            </w:r>
            <w:r w:rsidR="00F01E31">
              <w:rPr>
                <w:sz w:val="20"/>
                <w:szCs w:val="20"/>
              </w:rPr>
              <w:t xml:space="preserve"> </w:t>
            </w:r>
            <w:r w:rsidR="00555721">
              <w:rPr>
                <w:sz w:val="20"/>
                <w:szCs w:val="20"/>
              </w:rPr>
              <w:t>сентября</w:t>
            </w:r>
            <w:r w:rsidR="005241C4">
              <w:rPr>
                <w:sz w:val="20"/>
                <w:szCs w:val="20"/>
              </w:rPr>
              <w:t xml:space="preserve"> 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555721">
            <w:pPr>
              <w:ind w:firstLine="170"/>
              <w:jc w:val="both"/>
              <w:rPr>
                <w:sz w:val="20"/>
                <w:szCs w:val="20"/>
              </w:rPr>
            </w:pPr>
            <w:r w:rsidRPr="008024A7">
              <w:rPr>
                <w:bCs/>
                <w:sz w:val="20"/>
                <w:szCs w:val="20"/>
              </w:rPr>
              <w:t>«</w:t>
            </w:r>
            <w:r w:rsidR="00555721">
              <w:rPr>
                <w:bCs/>
                <w:sz w:val="20"/>
                <w:szCs w:val="20"/>
              </w:rPr>
              <w:t>01</w:t>
            </w:r>
            <w:r w:rsidRPr="008024A7">
              <w:rPr>
                <w:bCs/>
                <w:sz w:val="20"/>
                <w:szCs w:val="20"/>
              </w:rPr>
              <w:t>»</w:t>
            </w:r>
            <w:r w:rsidR="00DA782B">
              <w:rPr>
                <w:bCs/>
                <w:sz w:val="20"/>
                <w:szCs w:val="20"/>
              </w:rPr>
              <w:t xml:space="preserve"> </w:t>
            </w:r>
            <w:r w:rsidR="00555721">
              <w:rPr>
                <w:bCs/>
                <w:sz w:val="20"/>
                <w:szCs w:val="20"/>
              </w:rPr>
              <w:t xml:space="preserve">октября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D814A8" w:rsidRDefault="00D814A8" w:rsidP="00D814A8">
            <w:pPr>
              <w:ind w:firstLine="176"/>
              <w:rPr>
                <w:sz w:val="20"/>
                <w:szCs w:val="20"/>
              </w:rPr>
            </w:pPr>
            <w:r>
              <w:rPr>
                <w:color w:val="000000"/>
                <w:sz w:val="20"/>
                <w:szCs w:val="20"/>
              </w:rPr>
              <w:t>3 % от начальной (максимальной) цены договора, что составляет:</w:t>
            </w:r>
          </w:p>
          <w:p w:rsidR="00D814A8" w:rsidRDefault="00D814A8" w:rsidP="00D814A8">
            <w:pPr>
              <w:autoSpaceDE w:val="0"/>
              <w:autoSpaceDN w:val="0"/>
              <w:adjustRightInd w:val="0"/>
              <w:ind w:firstLine="176"/>
              <w:jc w:val="both"/>
              <w:outlineLvl w:val="1"/>
              <w:rPr>
                <w:sz w:val="20"/>
                <w:szCs w:val="20"/>
              </w:rPr>
            </w:pPr>
          </w:p>
          <w:p w:rsidR="00D814A8" w:rsidRDefault="00555721" w:rsidP="00D814A8">
            <w:pPr>
              <w:shd w:val="clear" w:color="auto" w:fill="FFFFFF"/>
              <w:tabs>
                <w:tab w:val="left" w:pos="1701"/>
                <w:tab w:val="left" w:pos="2127"/>
              </w:tabs>
              <w:ind w:firstLine="176"/>
              <w:jc w:val="both"/>
              <w:rPr>
                <w:b/>
                <w:sz w:val="20"/>
                <w:szCs w:val="20"/>
              </w:rPr>
            </w:pPr>
            <w:r w:rsidRPr="00555721">
              <w:rPr>
                <w:b/>
                <w:sz w:val="20"/>
                <w:szCs w:val="20"/>
              </w:rPr>
              <w:t>6154</w:t>
            </w:r>
            <w:r>
              <w:rPr>
                <w:b/>
                <w:sz w:val="20"/>
                <w:szCs w:val="20"/>
              </w:rPr>
              <w:t>,</w:t>
            </w:r>
            <w:r w:rsidRPr="00555721">
              <w:rPr>
                <w:b/>
                <w:sz w:val="20"/>
                <w:szCs w:val="20"/>
              </w:rPr>
              <w:t>85 руб. (шесть тысяч сто пятьдесят четыре рубля восемьдесят пять копеек)</w:t>
            </w:r>
          </w:p>
          <w:p w:rsidR="00555721" w:rsidRDefault="00555721"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 а в случае если Извещением </w:t>
            </w:r>
            <w:r>
              <w:rPr>
                <w:b/>
                <w:sz w:val="20"/>
                <w:szCs w:val="20"/>
              </w:rPr>
              <w:t xml:space="preserve">обеспечение </w:t>
            </w:r>
            <w:r>
              <w:rPr>
                <w:sz w:val="20"/>
                <w:szCs w:val="20"/>
              </w:rPr>
              <w:t xml:space="preserve">исполнения договора </w:t>
            </w:r>
            <w:r>
              <w:rPr>
                <w:b/>
                <w:sz w:val="20"/>
                <w:szCs w:val="20"/>
              </w:rPr>
              <w:t>не было предусмотрено</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555721">
              <w:rPr>
                <w:sz w:val="20"/>
                <w:szCs w:val="20"/>
                <w:u w:val="single"/>
              </w:rPr>
              <w:t>171-24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555721">
            <w:pPr>
              <w:ind w:firstLine="170"/>
              <w:jc w:val="both"/>
              <w:rPr>
                <w:sz w:val="20"/>
                <w:szCs w:val="20"/>
              </w:rPr>
            </w:pPr>
            <w:r w:rsidRPr="008024A7">
              <w:rPr>
                <w:sz w:val="20"/>
                <w:szCs w:val="20"/>
              </w:rPr>
              <w:t>«</w:t>
            </w:r>
            <w:r w:rsidR="00555721">
              <w:rPr>
                <w:sz w:val="20"/>
                <w:szCs w:val="20"/>
              </w:rPr>
              <w:t>30</w:t>
            </w:r>
            <w:r w:rsidR="00487F7E" w:rsidRPr="008024A7">
              <w:rPr>
                <w:sz w:val="20"/>
                <w:szCs w:val="20"/>
              </w:rPr>
              <w:t>»</w:t>
            </w:r>
            <w:r w:rsidR="00D814A8">
              <w:rPr>
                <w:sz w:val="20"/>
                <w:szCs w:val="20"/>
              </w:rPr>
              <w:t xml:space="preserve"> </w:t>
            </w:r>
            <w:r w:rsidR="00555721">
              <w:rPr>
                <w:sz w:val="20"/>
                <w:szCs w:val="20"/>
              </w:rPr>
              <w:t>сентября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555721">
            <w:pPr>
              <w:ind w:firstLine="170"/>
              <w:rPr>
                <w:b/>
                <w:sz w:val="20"/>
                <w:szCs w:val="20"/>
              </w:rPr>
            </w:pPr>
            <w:r w:rsidRPr="00180675">
              <w:rPr>
                <w:b/>
                <w:sz w:val="20"/>
                <w:szCs w:val="20"/>
              </w:rPr>
              <w:t>«</w:t>
            </w:r>
            <w:r w:rsidR="00555721">
              <w:rPr>
                <w:b/>
                <w:sz w:val="20"/>
                <w:szCs w:val="20"/>
              </w:rPr>
              <w:t>01</w:t>
            </w:r>
            <w:r w:rsidRPr="00180675">
              <w:rPr>
                <w:b/>
                <w:sz w:val="20"/>
                <w:szCs w:val="20"/>
              </w:rPr>
              <w:t xml:space="preserve">» </w:t>
            </w:r>
            <w:r w:rsidR="00555721">
              <w:rPr>
                <w:b/>
                <w:sz w:val="20"/>
                <w:szCs w:val="20"/>
              </w:rPr>
              <w:t>октября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bookmarkStart w:id="2" w:name="_GoBack"/>
      <w:bookmarkEnd w:id="2"/>
    </w:p>
    <w:p w:rsidR="00FA76D7" w:rsidRDefault="00FA76D7" w:rsidP="00781D29">
      <w:pPr>
        <w:jc w:val="right"/>
        <w:rPr>
          <w:b/>
          <w:bCs/>
          <w:sz w:val="20"/>
          <w:szCs w:val="20"/>
        </w:rPr>
      </w:pPr>
    </w:p>
    <w:p w:rsidR="00FA76D7" w:rsidRDefault="00FA76D7" w:rsidP="00781D29">
      <w:pPr>
        <w:jc w:val="right"/>
        <w:rPr>
          <w:b/>
          <w:bCs/>
          <w:sz w:val="20"/>
          <w:szCs w:val="20"/>
        </w:rPr>
      </w:pPr>
    </w:p>
    <w:p w:rsidR="00DA782B" w:rsidRDefault="00DA782B" w:rsidP="00781D29">
      <w:pPr>
        <w:jc w:val="right"/>
        <w:rPr>
          <w:b/>
          <w:bCs/>
          <w:sz w:val="20"/>
          <w:szCs w:val="20"/>
        </w:rPr>
      </w:pPr>
    </w:p>
    <w:p w:rsidR="005514F9" w:rsidRDefault="005514F9" w:rsidP="00781D29">
      <w:pPr>
        <w:jc w:val="right"/>
        <w:rPr>
          <w:b/>
          <w:bCs/>
          <w:sz w:val="20"/>
          <w:szCs w:val="20"/>
        </w:rPr>
      </w:pPr>
    </w:p>
    <w:p w:rsidR="00680B7D" w:rsidRDefault="00680B7D"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555721">
        <w:rPr>
          <w:b/>
          <w:bCs/>
          <w:sz w:val="20"/>
        </w:rPr>
        <w:t>препаратов для лечения мочеполовой системы и половые гормоны</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555721">
        <w:rPr>
          <w:b/>
          <w:kern w:val="32"/>
          <w:sz w:val="20"/>
          <w:szCs w:val="20"/>
        </w:rPr>
        <w:t>171-24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555721">
        <w:rPr>
          <w:b/>
          <w:bCs/>
          <w:sz w:val="20"/>
        </w:rPr>
        <w:t>препаратов для лечения мочеполовой системы и половые гормоны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053"/>
        <w:gridCol w:w="5010"/>
        <w:gridCol w:w="615"/>
        <w:gridCol w:w="686"/>
        <w:gridCol w:w="1590"/>
      </w:tblGrid>
      <w:tr w:rsidR="00E95738" w:rsidRPr="009652BC" w:rsidTr="00FE3356">
        <w:trPr>
          <w:trHeight w:val="57"/>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985"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404"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3"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555721" w:rsidRPr="009652BC" w:rsidTr="00FA76D7">
        <w:trPr>
          <w:trHeight w:val="143"/>
          <w:jc w:val="center"/>
        </w:trPr>
        <w:tc>
          <w:tcPr>
            <w:tcW w:w="224" w:type="pct"/>
            <w:shd w:val="clear" w:color="auto" w:fill="auto"/>
          </w:tcPr>
          <w:p w:rsidR="00555721" w:rsidRPr="009652BC" w:rsidRDefault="00555721" w:rsidP="00CD2C1B">
            <w:pPr>
              <w:tabs>
                <w:tab w:val="left" w:pos="0"/>
              </w:tabs>
              <w:jc w:val="center"/>
              <w:rPr>
                <w:kern w:val="28"/>
                <w:sz w:val="18"/>
                <w:szCs w:val="18"/>
              </w:rPr>
            </w:pPr>
            <w:r w:rsidRPr="009652BC">
              <w:rPr>
                <w:kern w:val="28"/>
                <w:sz w:val="18"/>
                <w:szCs w:val="18"/>
              </w:rPr>
              <w:t>1</w:t>
            </w:r>
          </w:p>
        </w:tc>
        <w:tc>
          <w:tcPr>
            <w:tcW w:w="985" w:type="pct"/>
            <w:shd w:val="clear" w:color="auto" w:fill="auto"/>
          </w:tcPr>
          <w:p w:rsidR="00555721" w:rsidRPr="00555721" w:rsidRDefault="00555721" w:rsidP="00555721">
            <w:pPr>
              <w:rPr>
                <w:color w:val="000000"/>
                <w:sz w:val="18"/>
                <w:szCs w:val="18"/>
              </w:rPr>
            </w:pPr>
            <w:proofErr w:type="spellStart"/>
            <w:r w:rsidRPr="00555721">
              <w:rPr>
                <w:color w:val="000000"/>
                <w:sz w:val="18"/>
                <w:szCs w:val="18"/>
              </w:rPr>
              <w:t>Дидрогестерон</w:t>
            </w:r>
            <w:proofErr w:type="spellEnd"/>
          </w:p>
        </w:tc>
        <w:tc>
          <w:tcPr>
            <w:tcW w:w="2404" w:type="pct"/>
            <w:shd w:val="clear" w:color="auto" w:fill="auto"/>
          </w:tcPr>
          <w:p w:rsidR="00555721" w:rsidRPr="00555721" w:rsidRDefault="00555721" w:rsidP="00555721">
            <w:pPr>
              <w:rPr>
                <w:color w:val="000000"/>
                <w:sz w:val="18"/>
                <w:szCs w:val="18"/>
              </w:rPr>
            </w:pPr>
            <w:r w:rsidRPr="00555721">
              <w:rPr>
                <w:color w:val="000000"/>
                <w:sz w:val="18"/>
                <w:szCs w:val="18"/>
              </w:rPr>
              <w:t>таблетки п/о 10 мг  №1</w:t>
            </w:r>
          </w:p>
        </w:tc>
        <w:tc>
          <w:tcPr>
            <w:tcW w:w="295" w:type="pct"/>
          </w:tcPr>
          <w:p w:rsidR="00555721" w:rsidRPr="00555721" w:rsidRDefault="00555721" w:rsidP="00482D0C">
            <w:pPr>
              <w:rPr>
                <w:sz w:val="18"/>
                <w:szCs w:val="18"/>
              </w:rPr>
            </w:pPr>
            <w:r w:rsidRPr="00555721">
              <w:rPr>
                <w:sz w:val="18"/>
                <w:szCs w:val="18"/>
              </w:rPr>
              <w:t>Шт.</w:t>
            </w:r>
          </w:p>
        </w:tc>
        <w:tc>
          <w:tcPr>
            <w:tcW w:w="329" w:type="pct"/>
          </w:tcPr>
          <w:p w:rsidR="00555721" w:rsidRPr="00555721" w:rsidRDefault="00555721" w:rsidP="00482D0C">
            <w:pPr>
              <w:rPr>
                <w:sz w:val="18"/>
                <w:szCs w:val="18"/>
              </w:rPr>
            </w:pPr>
            <w:r w:rsidRPr="00555721">
              <w:rPr>
                <w:sz w:val="18"/>
                <w:szCs w:val="18"/>
              </w:rPr>
              <w:t>6020</w:t>
            </w:r>
          </w:p>
        </w:tc>
        <w:tc>
          <w:tcPr>
            <w:tcW w:w="763" w:type="pct"/>
          </w:tcPr>
          <w:p w:rsidR="00555721" w:rsidRPr="00FA76D7" w:rsidRDefault="00555721" w:rsidP="00FA76D7">
            <w:pPr>
              <w:jc w:val="center"/>
              <w:rPr>
                <w:sz w:val="18"/>
              </w:rPr>
            </w:pPr>
            <w:r>
              <w:rPr>
                <w:sz w:val="18"/>
              </w:rPr>
              <w:t>34,08</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555721" w:rsidRDefault="00555721"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8D41C9" w:rsidRDefault="008D41C9"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5721">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55721">
        <w:rPr>
          <w:b/>
          <w:kern w:val="32"/>
          <w:sz w:val="20"/>
          <w:szCs w:val="20"/>
        </w:rPr>
        <w:t>171-24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555721">
        <w:rPr>
          <w:sz w:val="19"/>
          <w:szCs w:val="19"/>
        </w:rPr>
        <w:t>171-24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9652BC">
        <w:rPr>
          <w:b/>
          <w:bCs/>
          <w:sz w:val="20"/>
        </w:rPr>
        <w:t>лекарственных препаратов для нужд «ОГАУЗ ИГКБ № 8»</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BD6A66">
      <w:pPr>
        <w:ind w:firstLine="567"/>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307E4">
      <w:pPr>
        <w:pStyle w:val="3"/>
        <w:numPr>
          <w:ilvl w:val="0"/>
          <w:numId w:val="3"/>
        </w:numPr>
        <w:tabs>
          <w:tab w:val="left" w:pos="567"/>
        </w:tabs>
        <w:ind w:left="0" w:firstLine="0"/>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201DB3">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9652BC">
        <w:rPr>
          <w:rFonts w:ascii="Times New Roman" w:hAnsi="Times New Roman" w:cs="Times New Roman"/>
          <w:bCs/>
          <w:sz w:val="19"/>
          <w:szCs w:val="19"/>
        </w:rPr>
        <w:t>лекарственных препаратов для нужд «ОГАУЗ ИГКБ № 8»</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307E4">
      <w:pPr>
        <w:pStyle w:val="1"/>
        <w:numPr>
          <w:ilvl w:val="0"/>
          <w:numId w:val="3"/>
        </w:numPr>
        <w:spacing w:before="0" w:after="0"/>
        <w:ind w:left="0" w:firstLine="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201DB3">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201DB3">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55721">
        <w:rPr>
          <w:sz w:val="19"/>
          <w:szCs w:val="19"/>
        </w:rPr>
        <w:t>31.03</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555721"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555721">
        <w:rPr>
          <w:sz w:val="20"/>
          <w:szCs w:val="20"/>
        </w:rPr>
        <w:t>171-24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555721">
        <w:rPr>
          <w:b/>
          <w:bCs/>
          <w:sz w:val="20"/>
        </w:rPr>
        <w:t>препаратов для лечения мочеполовой системы и половые гормоны</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555721">
        <w:rPr>
          <w:b/>
          <w:kern w:val="32"/>
          <w:sz w:val="20"/>
          <w:szCs w:val="20"/>
        </w:rPr>
        <w:t>171-24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лекарственных препаратов для нужд «ОГАУЗ ИГКБ № 8»</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9652BC">
        <w:rPr>
          <w:bCs/>
          <w:sz w:val="20"/>
          <w:szCs w:val="20"/>
        </w:rPr>
        <w:t>лекарственных препаратов для нужд «ОГАУЗ ИГКБ № 8»</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1C9" w:rsidRDefault="008D41C9" w:rsidP="00ED57EB">
      <w:r>
        <w:separator/>
      </w:r>
    </w:p>
  </w:endnote>
  <w:endnote w:type="continuationSeparator" w:id="0">
    <w:p w:rsidR="008D41C9" w:rsidRDefault="008D41C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D41C9" w:rsidRDefault="008D41C9">
        <w:pPr>
          <w:pStyle w:val="af7"/>
          <w:jc w:val="right"/>
        </w:pPr>
        <w:r>
          <w:fldChar w:fldCharType="begin"/>
        </w:r>
        <w:r>
          <w:instrText xml:space="preserve"> PAGE   \* MERGEFORMAT </w:instrText>
        </w:r>
        <w:r>
          <w:fldChar w:fldCharType="separate"/>
        </w:r>
        <w:r w:rsidR="00555721">
          <w:rPr>
            <w:noProof/>
          </w:rPr>
          <w:t>23</w:t>
        </w:r>
        <w:r>
          <w:rPr>
            <w:noProof/>
          </w:rPr>
          <w:fldChar w:fldCharType="end"/>
        </w:r>
      </w:p>
    </w:sdtContent>
  </w:sdt>
  <w:p w:rsidR="008D41C9" w:rsidRDefault="008D41C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1C9" w:rsidRDefault="008D41C9" w:rsidP="00ED57EB">
      <w:r>
        <w:separator/>
      </w:r>
    </w:p>
  </w:footnote>
  <w:footnote w:type="continuationSeparator" w:id="0">
    <w:p w:rsidR="008D41C9" w:rsidRDefault="008D41C9" w:rsidP="00ED57EB">
      <w:r>
        <w:continuationSeparator/>
      </w:r>
    </w:p>
  </w:footnote>
  <w:footnote w:id="1">
    <w:p w:rsidR="008D41C9" w:rsidRPr="000966CA" w:rsidRDefault="008D41C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3274B-DB63-4987-812D-FDAB1EB0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23</Pages>
  <Words>13640</Words>
  <Characters>77754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91212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117</cp:revision>
  <cp:lastPrinted>2024-09-24T03:04:00Z</cp:lastPrinted>
  <dcterms:created xsi:type="dcterms:W3CDTF">2022-12-02T12:40:00Z</dcterms:created>
  <dcterms:modified xsi:type="dcterms:W3CDTF">2024-09-24T03:04:00Z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