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86F20">
        <w:rPr>
          <w:b/>
          <w:sz w:val="28"/>
          <w:szCs w:val="28"/>
        </w:rPr>
        <w:t xml:space="preserve">лекарственных препаратов группы </w:t>
      </w:r>
      <w:proofErr w:type="spellStart"/>
      <w:r w:rsidR="00986F20">
        <w:rPr>
          <w:b/>
          <w:sz w:val="28"/>
          <w:szCs w:val="28"/>
        </w:rPr>
        <w:t>миорелаксанты</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86F20">
        <w:rPr>
          <w:b/>
          <w:kern w:val="32"/>
          <w:sz w:val="28"/>
          <w:szCs w:val="28"/>
        </w:rPr>
        <w:t>203-24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86F2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86F20">
              <w:rPr>
                <w:bCs/>
                <w:sz w:val="20"/>
                <w:szCs w:val="20"/>
              </w:rPr>
              <w:t xml:space="preserve">лекарственных препаратов группы </w:t>
            </w:r>
            <w:proofErr w:type="spellStart"/>
            <w:r w:rsidR="00986F20">
              <w:rPr>
                <w:bCs/>
                <w:sz w:val="20"/>
                <w:szCs w:val="20"/>
              </w:rPr>
              <w:t>миорелаксанты</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986F20" w:rsidP="00F43414">
            <w:pPr>
              <w:ind w:firstLine="170"/>
              <w:jc w:val="both"/>
              <w:rPr>
                <w:sz w:val="20"/>
                <w:szCs w:val="20"/>
              </w:rPr>
            </w:pPr>
            <w:r w:rsidRPr="00986F20">
              <w:rPr>
                <w:sz w:val="20"/>
                <w:szCs w:val="20"/>
              </w:rPr>
              <w:t>21.20.10.225</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986F20">
            <w:pPr>
              <w:autoSpaceDE w:val="0"/>
              <w:autoSpaceDN w:val="0"/>
              <w:adjustRightInd w:val="0"/>
              <w:ind w:firstLine="170"/>
              <w:jc w:val="both"/>
              <w:rPr>
                <w:sz w:val="20"/>
                <w:szCs w:val="20"/>
              </w:rPr>
            </w:pPr>
            <w:r>
              <w:rPr>
                <w:sz w:val="20"/>
                <w:szCs w:val="20"/>
              </w:rPr>
              <w:t>3</w:t>
            </w:r>
            <w:r w:rsidR="00986F20">
              <w:rPr>
                <w:sz w:val="20"/>
                <w:szCs w:val="20"/>
              </w:rPr>
              <w:t>33</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5B5520" w:rsidP="0094233B">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986F2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986F20">
              <w:rPr>
                <w:sz w:val="20"/>
                <w:szCs w:val="20"/>
              </w:rPr>
              <w:t>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986F20" w:rsidP="00DF691A">
            <w:pPr>
              <w:tabs>
                <w:tab w:val="left" w:pos="6022"/>
              </w:tabs>
              <w:ind w:right="72" w:firstLine="170"/>
              <w:jc w:val="both"/>
              <w:rPr>
                <w:sz w:val="20"/>
                <w:szCs w:val="20"/>
              </w:rPr>
            </w:pPr>
            <w:r>
              <w:rPr>
                <w:sz w:val="20"/>
                <w:szCs w:val="20"/>
              </w:rPr>
              <w:t>95132,</w:t>
            </w:r>
            <w:r w:rsidRPr="00986F20">
              <w:rPr>
                <w:sz w:val="20"/>
                <w:szCs w:val="20"/>
              </w:rPr>
              <w:t>78 руб. (девяносто пять тысяч сто тридцать два рубля семьдесят восемь копеек)</w:t>
            </w:r>
            <w:r>
              <w:rPr>
                <w:sz w:val="20"/>
                <w:szCs w:val="20"/>
              </w:rPr>
              <w:t>.</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986F20">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986F20">
              <w:rPr>
                <w:b/>
                <w:sz w:val="20"/>
                <w:szCs w:val="20"/>
              </w:rPr>
              <w:t>05</w:t>
            </w:r>
            <w:r w:rsidRPr="008024A7">
              <w:rPr>
                <w:b/>
                <w:sz w:val="20"/>
                <w:szCs w:val="20"/>
              </w:rPr>
              <w:t>»</w:t>
            </w:r>
            <w:r w:rsidR="00D814A8" w:rsidRPr="00D814A8">
              <w:rPr>
                <w:b/>
                <w:sz w:val="20"/>
                <w:szCs w:val="20"/>
              </w:rPr>
              <w:t xml:space="preserve"> </w:t>
            </w:r>
            <w:r w:rsidR="00986F20">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986F20">
              <w:rPr>
                <w:b/>
                <w:sz w:val="20"/>
                <w:szCs w:val="20"/>
              </w:rPr>
              <w:t>12</w:t>
            </w:r>
            <w:r w:rsidRPr="008024A7">
              <w:rPr>
                <w:b/>
                <w:sz w:val="20"/>
                <w:szCs w:val="20"/>
              </w:rPr>
              <w:t>»</w:t>
            </w:r>
            <w:r w:rsidR="003144A3">
              <w:rPr>
                <w:b/>
                <w:sz w:val="20"/>
                <w:szCs w:val="20"/>
              </w:rPr>
              <w:t xml:space="preserve"> </w:t>
            </w:r>
            <w:r w:rsidR="00986F20">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986F20">
              <w:rPr>
                <w:sz w:val="20"/>
                <w:szCs w:val="20"/>
              </w:rPr>
              <w:t>05</w:t>
            </w:r>
            <w:r w:rsidR="00543ADA">
              <w:rPr>
                <w:sz w:val="20"/>
                <w:szCs w:val="20"/>
              </w:rPr>
              <w:t>»</w:t>
            </w:r>
            <w:r w:rsidR="00986F20">
              <w:rPr>
                <w:sz w:val="20"/>
                <w:szCs w:val="20"/>
              </w:rPr>
              <w:t xml:space="preserve"> 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986F20">
            <w:pPr>
              <w:ind w:firstLine="170"/>
              <w:jc w:val="both"/>
              <w:rPr>
                <w:sz w:val="20"/>
                <w:szCs w:val="20"/>
              </w:rPr>
            </w:pPr>
            <w:r w:rsidRPr="008024A7">
              <w:rPr>
                <w:bCs/>
                <w:sz w:val="20"/>
                <w:szCs w:val="20"/>
              </w:rPr>
              <w:t>«</w:t>
            </w:r>
            <w:r w:rsidR="00986F20">
              <w:rPr>
                <w:bCs/>
                <w:sz w:val="20"/>
                <w:szCs w:val="20"/>
              </w:rPr>
              <w:t>12</w:t>
            </w:r>
            <w:r w:rsidRPr="008024A7">
              <w:rPr>
                <w:bCs/>
                <w:sz w:val="20"/>
                <w:szCs w:val="20"/>
              </w:rPr>
              <w:t>»</w:t>
            </w:r>
            <w:r w:rsidR="00DA782B">
              <w:rPr>
                <w:bCs/>
                <w:sz w:val="20"/>
                <w:szCs w:val="20"/>
              </w:rPr>
              <w:t xml:space="preserve"> </w:t>
            </w:r>
            <w:r w:rsidR="00986F20">
              <w:rPr>
                <w:bCs/>
                <w:sz w:val="20"/>
                <w:szCs w:val="20"/>
              </w:rPr>
              <w:t>ноября</w:t>
            </w:r>
            <w:r w:rsidR="00555721">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986F20" w:rsidRDefault="00986F20" w:rsidP="00986F20">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986F20" w:rsidRDefault="00986F20" w:rsidP="00986F20">
            <w:pPr>
              <w:shd w:val="clear" w:color="auto" w:fill="FFFFFF"/>
              <w:tabs>
                <w:tab w:val="left" w:pos="1701"/>
                <w:tab w:val="left" w:pos="2127"/>
              </w:tabs>
              <w:ind w:firstLine="170"/>
              <w:jc w:val="both"/>
              <w:rPr>
                <w:sz w:val="20"/>
                <w:szCs w:val="20"/>
              </w:rPr>
            </w:pPr>
          </w:p>
          <w:p w:rsidR="00986F20" w:rsidRDefault="00986F20" w:rsidP="00986F20">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86F20">
              <w:rPr>
                <w:sz w:val="20"/>
                <w:szCs w:val="20"/>
                <w:u w:val="single"/>
              </w:rPr>
              <w:t>203-24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86F20">
            <w:pPr>
              <w:ind w:firstLine="170"/>
              <w:jc w:val="both"/>
              <w:rPr>
                <w:sz w:val="20"/>
                <w:szCs w:val="20"/>
              </w:rPr>
            </w:pPr>
            <w:r w:rsidRPr="008024A7">
              <w:rPr>
                <w:sz w:val="20"/>
                <w:szCs w:val="20"/>
              </w:rPr>
              <w:t>«</w:t>
            </w:r>
            <w:r w:rsidR="00986F20">
              <w:rPr>
                <w:sz w:val="20"/>
                <w:szCs w:val="20"/>
              </w:rPr>
              <w:t>11</w:t>
            </w:r>
            <w:r w:rsidR="00487F7E" w:rsidRPr="008024A7">
              <w:rPr>
                <w:sz w:val="20"/>
                <w:szCs w:val="20"/>
              </w:rPr>
              <w:t>»</w:t>
            </w:r>
            <w:r w:rsidR="00D814A8">
              <w:rPr>
                <w:sz w:val="20"/>
                <w:szCs w:val="20"/>
              </w:rPr>
              <w:t xml:space="preserve"> </w:t>
            </w:r>
            <w:r w:rsidR="00986F20">
              <w:rPr>
                <w:sz w:val="20"/>
                <w:szCs w:val="20"/>
              </w:rPr>
              <w:t xml:space="preserve">ноября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986F20">
            <w:pPr>
              <w:ind w:firstLine="170"/>
              <w:rPr>
                <w:b/>
                <w:sz w:val="20"/>
                <w:szCs w:val="20"/>
              </w:rPr>
            </w:pPr>
            <w:r w:rsidRPr="00180675">
              <w:rPr>
                <w:b/>
                <w:sz w:val="20"/>
                <w:szCs w:val="20"/>
              </w:rPr>
              <w:t>«</w:t>
            </w:r>
            <w:r w:rsidR="00986F20">
              <w:rPr>
                <w:b/>
                <w:sz w:val="20"/>
                <w:szCs w:val="20"/>
              </w:rPr>
              <w:t>12</w:t>
            </w:r>
            <w:r w:rsidRPr="00180675">
              <w:rPr>
                <w:b/>
                <w:sz w:val="20"/>
                <w:szCs w:val="20"/>
              </w:rPr>
              <w:t xml:space="preserve">» </w:t>
            </w:r>
            <w:r w:rsidR="00986F20">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p>
    <w:p w:rsidR="00986F20" w:rsidRDefault="00986F20" w:rsidP="00781D29">
      <w:pPr>
        <w:jc w:val="right"/>
        <w:rPr>
          <w:b/>
          <w:bCs/>
          <w:sz w:val="20"/>
          <w:szCs w:val="20"/>
        </w:rPr>
      </w:pPr>
      <w:bookmarkStart w:id="2" w:name="_GoBack"/>
      <w:bookmarkEnd w:id="2"/>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986F20" w:rsidRDefault="00986F2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5E0239" w:rsidRDefault="005E0239" w:rsidP="00781D29">
      <w:pPr>
        <w:jc w:val="right"/>
        <w:rPr>
          <w:b/>
          <w:bCs/>
          <w:sz w:val="20"/>
          <w:szCs w:val="20"/>
        </w:rPr>
      </w:pPr>
    </w:p>
    <w:p w:rsidR="005E0239" w:rsidRDefault="005E0239" w:rsidP="00781D29">
      <w:pPr>
        <w:jc w:val="right"/>
        <w:rPr>
          <w:b/>
          <w:bCs/>
          <w:sz w:val="20"/>
          <w:szCs w:val="20"/>
        </w:rPr>
      </w:pPr>
    </w:p>
    <w:p w:rsidR="00FA76D7" w:rsidRDefault="00FA76D7"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86F20">
        <w:rPr>
          <w:b/>
          <w:bCs/>
          <w:sz w:val="20"/>
        </w:rPr>
        <w:t xml:space="preserve">лекарственных препаратов группы </w:t>
      </w:r>
      <w:proofErr w:type="spellStart"/>
      <w:r w:rsidR="00986F20">
        <w:rPr>
          <w:b/>
          <w:bCs/>
          <w:sz w:val="20"/>
        </w:rPr>
        <w:t>миорелаксанты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86F20">
        <w:rPr>
          <w:b/>
          <w:kern w:val="32"/>
          <w:sz w:val="20"/>
          <w:szCs w:val="20"/>
        </w:rPr>
        <w:t>203-24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86F20">
        <w:rPr>
          <w:b/>
          <w:bCs/>
          <w:sz w:val="20"/>
        </w:rPr>
        <w:t xml:space="preserve">лекарственных препаратов группы </w:t>
      </w:r>
      <w:proofErr w:type="spellStart"/>
      <w:r w:rsidR="00986F20">
        <w:rPr>
          <w:b/>
          <w:bCs/>
          <w:sz w:val="20"/>
        </w:rPr>
        <w:t>миорелаксанты</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1"/>
        <w:gridCol w:w="5013"/>
        <w:gridCol w:w="615"/>
        <w:gridCol w:w="686"/>
        <w:gridCol w:w="1590"/>
      </w:tblGrid>
      <w:tr w:rsidR="00E95738" w:rsidRPr="009652BC" w:rsidTr="00E30FA9">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98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986F20" w:rsidRPr="009652BC" w:rsidTr="00986F20">
        <w:trPr>
          <w:trHeight w:val="20"/>
          <w:jc w:val="center"/>
        </w:trPr>
        <w:tc>
          <w:tcPr>
            <w:tcW w:w="224" w:type="pct"/>
            <w:shd w:val="clear" w:color="auto" w:fill="auto"/>
          </w:tcPr>
          <w:p w:rsidR="00986F20" w:rsidRPr="009652BC" w:rsidRDefault="00986F20" w:rsidP="00CD2C1B">
            <w:pPr>
              <w:tabs>
                <w:tab w:val="left" w:pos="0"/>
              </w:tabs>
              <w:jc w:val="center"/>
              <w:rPr>
                <w:kern w:val="28"/>
                <w:sz w:val="18"/>
                <w:szCs w:val="18"/>
              </w:rPr>
            </w:pPr>
            <w:r w:rsidRPr="009652BC">
              <w:rPr>
                <w:kern w:val="28"/>
                <w:sz w:val="18"/>
                <w:szCs w:val="18"/>
              </w:rPr>
              <w:t>1</w:t>
            </w:r>
          </w:p>
        </w:tc>
        <w:tc>
          <w:tcPr>
            <w:tcW w:w="984" w:type="pct"/>
            <w:shd w:val="clear" w:color="auto" w:fill="auto"/>
          </w:tcPr>
          <w:p w:rsidR="00986F20" w:rsidRPr="00986F20" w:rsidRDefault="00986F20" w:rsidP="00986F20">
            <w:pPr>
              <w:rPr>
                <w:color w:val="000000"/>
                <w:sz w:val="18"/>
                <w:szCs w:val="22"/>
              </w:rPr>
            </w:pPr>
            <w:proofErr w:type="spellStart"/>
            <w:r w:rsidRPr="00986F20">
              <w:rPr>
                <w:color w:val="000000"/>
                <w:sz w:val="18"/>
                <w:szCs w:val="22"/>
              </w:rPr>
              <w:t>Рокурония</w:t>
            </w:r>
            <w:proofErr w:type="spellEnd"/>
            <w:r w:rsidRPr="00986F20">
              <w:rPr>
                <w:color w:val="000000"/>
                <w:sz w:val="18"/>
                <w:szCs w:val="22"/>
              </w:rPr>
              <w:t xml:space="preserve"> бромид</w:t>
            </w:r>
          </w:p>
        </w:tc>
        <w:tc>
          <w:tcPr>
            <w:tcW w:w="2405" w:type="pct"/>
            <w:shd w:val="clear" w:color="auto" w:fill="auto"/>
          </w:tcPr>
          <w:p w:rsidR="00986F20" w:rsidRPr="00986F20" w:rsidRDefault="00986F20" w:rsidP="00986F20">
            <w:pPr>
              <w:rPr>
                <w:sz w:val="18"/>
                <w:szCs w:val="22"/>
              </w:rPr>
            </w:pPr>
            <w:r w:rsidRPr="00986F20">
              <w:rPr>
                <w:sz w:val="18"/>
                <w:szCs w:val="22"/>
              </w:rPr>
              <w:t>р-р для в/</w:t>
            </w:r>
            <w:proofErr w:type="gramStart"/>
            <w:r w:rsidRPr="00986F20">
              <w:rPr>
                <w:sz w:val="18"/>
                <w:szCs w:val="22"/>
              </w:rPr>
              <w:t>в</w:t>
            </w:r>
            <w:proofErr w:type="gramEnd"/>
            <w:r w:rsidRPr="00986F20">
              <w:rPr>
                <w:sz w:val="18"/>
                <w:szCs w:val="22"/>
              </w:rPr>
              <w:t xml:space="preserve"> введения 10 мг/мл, 5 мл  №12</w:t>
            </w:r>
          </w:p>
        </w:tc>
        <w:tc>
          <w:tcPr>
            <w:tcW w:w="295" w:type="pct"/>
          </w:tcPr>
          <w:p w:rsidR="00986F20" w:rsidRPr="00986F20" w:rsidRDefault="00986F20" w:rsidP="00986F20">
            <w:pPr>
              <w:rPr>
                <w:sz w:val="18"/>
              </w:rPr>
            </w:pPr>
            <w:proofErr w:type="spellStart"/>
            <w:r w:rsidRPr="00986F20">
              <w:rPr>
                <w:sz w:val="18"/>
              </w:rPr>
              <w:t>Уп</w:t>
            </w:r>
            <w:proofErr w:type="spellEnd"/>
            <w:r w:rsidRPr="00986F20">
              <w:rPr>
                <w:sz w:val="18"/>
              </w:rPr>
              <w:t>.</w:t>
            </w:r>
          </w:p>
        </w:tc>
        <w:tc>
          <w:tcPr>
            <w:tcW w:w="329" w:type="pct"/>
          </w:tcPr>
          <w:p w:rsidR="00986F20" w:rsidRPr="00986F20" w:rsidRDefault="00986F20" w:rsidP="00986F20">
            <w:pPr>
              <w:rPr>
                <w:sz w:val="18"/>
              </w:rPr>
            </w:pPr>
            <w:r w:rsidRPr="00986F20">
              <w:rPr>
                <w:sz w:val="18"/>
              </w:rPr>
              <w:t>21</w:t>
            </w:r>
          </w:p>
        </w:tc>
        <w:tc>
          <w:tcPr>
            <w:tcW w:w="763" w:type="pct"/>
            <w:shd w:val="clear" w:color="auto" w:fill="auto"/>
          </w:tcPr>
          <w:p w:rsidR="00986F20" w:rsidRPr="00986F20" w:rsidRDefault="00986F20" w:rsidP="00986F20">
            <w:pPr>
              <w:jc w:val="center"/>
              <w:rPr>
                <w:sz w:val="18"/>
              </w:rPr>
            </w:pPr>
            <w:r w:rsidRPr="00986F20">
              <w:rPr>
                <w:sz w:val="18"/>
              </w:rPr>
              <w:t>2 894,94</w:t>
            </w:r>
          </w:p>
        </w:tc>
      </w:tr>
      <w:tr w:rsidR="00986F20" w:rsidRPr="009652BC" w:rsidTr="00986F20">
        <w:trPr>
          <w:trHeight w:val="20"/>
          <w:jc w:val="center"/>
        </w:trPr>
        <w:tc>
          <w:tcPr>
            <w:tcW w:w="224" w:type="pct"/>
            <w:shd w:val="clear" w:color="auto" w:fill="auto"/>
          </w:tcPr>
          <w:p w:rsidR="00986F20" w:rsidRPr="009652BC" w:rsidRDefault="00986F20" w:rsidP="00CD2C1B">
            <w:pPr>
              <w:tabs>
                <w:tab w:val="left" w:pos="0"/>
              </w:tabs>
              <w:jc w:val="center"/>
              <w:rPr>
                <w:kern w:val="28"/>
                <w:sz w:val="18"/>
                <w:szCs w:val="18"/>
              </w:rPr>
            </w:pPr>
            <w:r>
              <w:rPr>
                <w:kern w:val="28"/>
                <w:sz w:val="18"/>
                <w:szCs w:val="18"/>
              </w:rPr>
              <w:t>2</w:t>
            </w:r>
          </w:p>
        </w:tc>
        <w:tc>
          <w:tcPr>
            <w:tcW w:w="984" w:type="pct"/>
            <w:shd w:val="clear" w:color="auto" w:fill="auto"/>
            <w:vAlign w:val="center"/>
          </w:tcPr>
          <w:p w:rsidR="00986F20" w:rsidRPr="00986F20" w:rsidRDefault="00986F20" w:rsidP="00986F20">
            <w:pPr>
              <w:rPr>
                <w:color w:val="000000"/>
                <w:sz w:val="18"/>
                <w:szCs w:val="22"/>
              </w:rPr>
            </w:pPr>
            <w:proofErr w:type="spellStart"/>
            <w:r w:rsidRPr="00986F20">
              <w:rPr>
                <w:color w:val="000000"/>
                <w:sz w:val="18"/>
                <w:szCs w:val="22"/>
              </w:rPr>
              <w:t>Пипекурония</w:t>
            </w:r>
            <w:proofErr w:type="spellEnd"/>
            <w:r w:rsidRPr="00986F20">
              <w:rPr>
                <w:color w:val="000000"/>
                <w:sz w:val="18"/>
                <w:szCs w:val="22"/>
              </w:rPr>
              <w:t xml:space="preserve"> бромид </w:t>
            </w:r>
          </w:p>
        </w:tc>
        <w:tc>
          <w:tcPr>
            <w:tcW w:w="2405" w:type="pct"/>
            <w:shd w:val="clear" w:color="auto" w:fill="auto"/>
            <w:vAlign w:val="center"/>
          </w:tcPr>
          <w:p w:rsidR="00986F20" w:rsidRPr="00986F20" w:rsidRDefault="00986F20" w:rsidP="00986F20">
            <w:pPr>
              <w:rPr>
                <w:color w:val="010101"/>
                <w:sz w:val="18"/>
                <w:szCs w:val="22"/>
              </w:rPr>
            </w:pPr>
            <w:proofErr w:type="spellStart"/>
            <w:r w:rsidRPr="00986F20">
              <w:rPr>
                <w:color w:val="010101"/>
                <w:sz w:val="18"/>
                <w:szCs w:val="22"/>
              </w:rPr>
              <w:t>лиофилизат</w:t>
            </w:r>
            <w:proofErr w:type="spellEnd"/>
            <w:r w:rsidRPr="00986F20">
              <w:rPr>
                <w:color w:val="010101"/>
                <w:sz w:val="18"/>
                <w:szCs w:val="22"/>
              </w:rPr>
              <w:t xml:space="preserve"> для приготовления р-</w:t>
            </w:r>
            <w:proofErr w:type="spellStart"/>
            <w:r w:rsidRPr="00986F20">
              <w:rPr>
                <w:color w:val="010101"/>
                <w:sz w:val="18"/>
                <w:szCs w:val="22"/>
              </w:rPr>
              <w:t>ра</w:t>
            </w:r>
            <w:proofErr w:type="spellEnd"/>
            <w:r w:rsidRPr="00986F20">
              <w:rPr>
                <w:color w:val="010101"/>
                <w:sz w:val="18"/>
                <w:szCs w:val="22"/>
              </w:rPr>
              <w:t xml:space="preserve"> для в/</w:t>
            </w:r>
            <w:proofErr w:type="gramStart"/>
            <w:r w:rsidRPr="00986F20">
              <w:rPr>
                <w:color w:val="010101"/>
                <w:sz w:val="18"/>
                <w:szCs w:val="22"/>
              </w:rPr>
              <w:t>в</w:t>
            </w:r>
            <w:proofErr w:type="gramEnd"/>
            <w:r w:rsidRPr="00986F20">
              <w:rPr>
                <w:color w:val="010101"/>
                <w:sz w:val="18"/>
                <w:szCs w:val="22"/>
              </w:rPr>
              <w:t xml:space="preserve"> введения, 4 мг, - флаконы №25 / в комплекте с растворителем: натрия хлорида раствор 0.9% (ампулы) 2 мл №25</w:t>
            </w:r>
          </w:p>
        </w:tc>
        <w:tc>
          <w:tcPr>
            <w:tcW w:w="295" w:type="pct"/>
          </w:tcPr>
          <w:p w:rsidR="00986F20" w:rsidRPr="00986F20" w:rsidRDefault="00986F20" w:rsidP="00986F20">
            <w:pPr>
              <w:rPr>
                <w:sz w:val="18"/>
              </w:rPr>
            </w:pPr>
            <w:proofErr w:type="spellStart"/>
            <w:r w:rsidRPr="00986F20">
              <w:rPr>
                <w:sz w:val="18"/>
              </w:rPr>
              <w:t>Уп</w:t>
            </w:r>
            <w:proofErr w:type="spellEnd"/>
            <w:r w:rsidRPr="00986F20">
              <w:rPr>
                <w:sz w:val="18"/>
              </w:rPr>
              <w:t>.</w:t>
            </w:r>
          </w:p>
        </w:tc>
        <w:tc>
          <w:tcPr>
            <w:tcW w:w="329" w:type="pct"/>
          </w:tcPr>
          <w:p w:rsidR="00986F20" w:rsidRPr="00986F20" w:rsidRDefault="00986F20" w:rsidP="00986F20">
            <w:pPr>
              <w:rPr>
                <w:sz w:val="18"/>
              </w:rPr>
            </w:pPr>
            <w:r w:rsidRPr="00986F20">
              <w:rPr>
                <w:sz w:val="18"/>
              </w:rPr>
              <w:t>8</w:t>
            </w:r>
          </w:p>
        </w:tc>
        <w:tc>
          <w:tcPr>
            <w:tcW w:w="763" w:type="pct"/>
            <w:shd w:val="clear" w:color="auto" w:fill="auto"/>
          </w:tcPr>
          <w:p w:rsidR="00986F20" w:rsidRPr="00986F20" w:rsidRDefault="00986F20" w:rsidP="00986F20">
            <w:pPr>
              <w:jc w:val="center"/>
              <w:rPr>
                <w:sz w:val="18"/>
              </w:rPr>
            </w:pPr>
            <w:r w:rsidRPr="00986F20">
              <w:rPr>
                <w:sz w:val="18"/>
              </w:rPr>
              <w:t>4 292,38</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986F20" w:rsidRDefault="00986F20" w:rsidP="00201DB3">
      <w:pPr>
        <w:jc w:val="right"/>
        <w:rPr>
          <w:rFonts w:ascii="Cuprum" w:hAnsi="Cuprum" w:cs="Tahoma"/>
          <w:b/>
          <w:bCs/>
          <w:sz w:val="20"/>
          <w:szCs w:val="20"/>
        </w:rPr>
      </w:pPr>
    </w:p>
    <w:p w:rsidR="00E30FA9" w:rsidRDefault="00E30FA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86F20">
        <w:rPr>
          <w:b/>
          <w:bCs/>
          <w:sz w:val="20"/>
        </w:rPr>
        <w:t xml:space="preserve">лекарственных препаратов группы </w:t>
      </w:r>
      <w:proofErr w:type="spellStart"/>
      <w:r w:rsidR="00986F20">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86F20">
        <w:rPr>
          <w:b/>
          <w:kern w:val="32"/>
          <w:sz w:val="20"/>
          <w:szCs w:val="20"/>
        </w:rPr>
        <w:t>203-24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86F20">
        <w:rPr>
          <w:sz w:val="19"/>
          <w:szCs w:val="19"/>
        </w:rPr>
        <w:t>203-24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86F20">
        <w:rPr>
          <w:b/>
          <w:bCs/>
          <w:sz w:val="20"/>
        </w:rPr>
        <w:t xml:space="preserve">лекарственных препаратов группы </w:t>
      </w:r>
      <w:proofErr w:type="spellStart"/>
      <w:r w:rsidR="00986F20">
        <w:rPr>
          <w:b/>
          <w:bCs/>
          <w:sz w:val="20"/>
        </w:rPr>
        <w:t>миорелаксанты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86F20">
        <w:rPr>
          <w:rFonts w:ascii="Times New Roman" w:hAnsi="Times New Roman" w:cs="Times New Roman"/>
          <w:bCs/>
          <w:sz w:val="19"/>
          <w:szCs w:val="19"/>
        </w:rPr>
        <w:t xml:space="preserve">лекарственных препаратов группы </w:t>
      </w:r>
      <w:proofErr w:type="spellStart"/>
      <w:r w:rsidR="00986F20">
        <w:rPr>
          <w:rFonts w:ascii="Times New Roman" w:hAnsi="Times New Roman" w:cs="Times New Roman"/>
          <w:bCs/>
          <w:sz w:val="19"/>
          <w:szCs w:val="19"/>
        </w:rPr>
        <w:t>миорелаксанты</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986F20">
        <w:rPr>
          <w:sz w:val="19"/>
          <w:szCs w:val="19"/>
        </w:rPr>
        <w:t>12</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86F2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86F20">
        <w:rPr>
          <w:sz w:val="20"/>
          <w:szCs w:val="20"/>
        </w:rPr>
        <w:t>203-24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86F20">
        <w:rPr>
          <w:b/>
          <w:bCs/>
          <w:sz w:val="20"/>
        </w:rPr>
        <w:t xml:space="preserve">лекарственных препаратов группы </w:t>
      </w:r>
      <w:proofErr w:type="spellStart"/>
      <w:r w:rsidR="00986F20">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86F20">
        <w:rPr>
          <w:b/>
          <w:kern w:val="32"/>
          <w:sz w:val="20"/>
          <w:szCs w:val="20"/>
        </w:rPr>
        <w:t>203-24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86F20">
        <w:rPr>
          <w:bCs/>
          <w:sz w:val="20"/>
        </w:rPr>
        <w:t xml:space="preserve">лекарственных препаратов группы </w:t>
      </w:r>
      <w:proofErr w:type="spellStart"/>
      <w:r w:rsidR="00986F20">
        <w:rPr>
          <w:bCs/>
          <w:sz w:val="20"/>
        </w:rPr>
        <w:t>миорелаксанты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86F20">
        <w:rPr>
          <w:bCs/>
          <w:sz w:val="20"/>
          <w:szCs w:val="20"/>
        </w:rPr>
        <w:t xml:space="preserve">лекарственных препаратов группы </w:t>
      </w:r>
      <w:proofErr w:type="spellStart"/>
      <w:r w:rsidR="00986F20">
        <w:rPr>
          <w:bCs/>
          <w:sz w:val="20"/>
          <w:szCs w:val="20"/>
        </w:rPr>
        <w:t>миорелаксанты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A9" w:rsidRDefault="00E30FA9" w:rsidP="00ED57EB">
      <w:r>
        <w:separator/>
      </w:r>
    </w:p>
  </w:endnote>
  <w:endnote w:type="continuationSeparator" w:id="0">
    <w:p w:rsidR="00E30FA9" w:rsidRDefault="00E30F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30FA9" w:rsidRDefault="00E30FA9">
        <w:pPr>
          <w:pStyle w:val="af7"/>
          <w:jc w:val="right"/>
        </w:pPr>
        <w:r>
          <w:fldChar w:fldCharType="begin"/>
        </w:r>
        <w:r>
          <w:instrText xml:space="preserve"> PAGE   \* MERGEFORMAT </w:instrText>
        </w:r>
        <w:r>
          <w:fldChar w:fldCharType="separate"/>
        </w:r>
        <w:r w:rsidR="00986F20">
          <w:rPr>
            <w:noProof/>
          </w:rPr>
          <w:t>22</w:t>
        </w:r>
        <w:r>
          <w:rPr>
            <w:noProof/>
          </w:rPr>
          <w:fldChar w:fldCharType="end"/>
        </w:r>
      </w:p>
    </w:sdtContent>
  </w:sdt>
  <w:p w:rsidR="00E30FA9" w:rsidRDefault="00E30F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A9" w:rsidRDefault="00E30FA9" w:rsidP="00ED57EB">
      <w:r>
        <w:separator/>
      </w:r>
    </w:p>
  </w:footnote>
  <w:footnote w:type="continuationSeparator" w:id="0">
    <w:p w:rsidR="00E30FA9" w:rsidRDefault="00E30FA9" w:rsidP="00ED57EB">
      <w:r>
        <w:continuationSeparator/>
      </w:r>
    </w:p>
  </w:footnote>
  <w:footnote w:id="1">
    <w:p w:rsidR="00E30FA9" w:rsidRPr="000966CA" w:rsidRDefault="00E30F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86F20"/>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0267711">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0AB3-2731-421D-BF47-8780272D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23</Pages>
  <Words>10940</Words>
  <Characters>80030</Characters>
  <Application>Microsoft Office Word</Application>
  <DocSecurity>0</DocSecurity>
  <Lines>666</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90789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124</cp:revision>
  <cp:lastPrinted>2024-10-23T07:18:00Z</cp:lastPrinted>
  <dcterms:created xsi:type="dcterms:W3CDTF">2022-12-02T12:40:00Z</dcterms:created>
  <dcterms:modified xsi:type="dcterms:W3CDTF">2024-11-05T09:16:00Z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