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Ind w:w="250" w:type="dxa"/>
        <w:tblLayout w:type="fixed"/>
        <w:tblLook w:val="04A0" w:firstRow="1" w:lastRow="0" w:firstColumn="1" w:lastColumn="0" w:noHBand="0" w:noVBand="1"/>
      </w:tblPr>
      <w:tblGrid>
        <w:gridCol w:w="4913"/>
        <w:gridCol w:w="474"/>
        <w:gridCol w:w="4677"/>
      </w:tblGrid>
      <w:tr w:rsidR="004B5B54" w:rsidRPr="00B32F5A" w14:paraId="067F3FD7" w14:textId="77777777" w:rsidTr="00012F0C">
        <w:tc>
          <w:tcPr>
            <w:tcW w:w="4913" w:type="dxa"/>
          </w:tcPr>
          <w:p w14:paraId="7BE7A461" w14:textId="77777777" w:rsidR="004B5B54" w:rsidRPr="00B32F5A" w:rsidRDefault="004B5B54" w:rsidP="00012F0C">
            <w:pPr>
              <w:spacing w:line="276" w:lineRule="auto"/>
              <w:ind w:left="1445" w:right="1313"/>
              <w:jc w:val="center"/>
            </w:pPr>
            <w:r w:rsidRPr="00B32F5A">
              <w:rPr>
                <w:noProof/>
              </w:rPr>
              <w:drawing>
                <wp:inline distT="0" distB="0" distL="0" distR="0" wp14:anchorId="40BF7AE3" wp14:editId="0CDA2E36">
                  <wp:extent cx="476250" cy="5238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76250" cy="523875"/>
                          </a:xfrm>
                          <a:prstGeom prst="rect">
                            <a:avLst/>
                          </a:prstGeom>
                          <a:noFill/>
                          <a:ln w="9525">
                            <a:noFill/>
                            <a:miter lim="800000"/>
                            <a:headEnd/>
                            <a:tailEnd/>
                          </a:ln>
                        </pic:spPr>
                      </pic:pic>
                    </a:graphicData>
                  </a:graphic>
                </wp:inline>
              </w:drawing>
            </w:r>
          </w:p>
          <w:p w14:paraId="009A0B2A" w14:textId="77777777" w:rsidR="004B5B54" w:rsidRPr="00B32F5A" w:rsidRDefault="004B5B54" w:rsidP="00012F0C">
            <w:pPr>
              <w:shd w:val="clear" w:color="auto" w:fill="FFFFFF"/>
              <w:spacing w:before="2"/>
              <w:ind w:left="2"/>
              <w:jc w:val="center"/>
              <w:rPr>
                <w:b/>
                <w:color w:val="000000"/>
              </w:rPr>
            </w:pPr>
            <w:r w:rsidRPr="00B32F5A">
              <w:rPr>
                <w:b/>
                <w:color w:val="000000"/>
              </w:rPr>
              <w:t>ОБЛАСТНОЕ ГОСУДАРСТВЕННОЕ АВТОНОМНОЕ УЧРЕЖДЕНИЕ ЗДРАВООХРАНЕНИЯ</w:t>
            </w:r>
          </w:p>
          <w:p w14:paraId="30AAE95B" w14:textId="77777777" w:rsidR="004B5B54" w:rsidRPr="00B32F5A" w:rsidRDefault="004B5B54" w:rsidP="00012F0C">
            <w:pPr>
              <w:shd w:val="clear" w:color="auto" w:fill="FFFFFF"/>
              <w:spacing w:before="2"/>
              <w:ind w:left="2"/>
              <w:jc w:val="center"/>
              <w:rPr>
                <w:b/>
                <w:color w:val="000000"/>
              </w:rPr>
            </w:pPr>
            <w:r w:rsidRPr="00B32F5A">
              <w:rPr>
                <w:b/>
                <w:color w:val="000000"/>
              </w:rPr>
              <w:t>«ИРКУТСКАЯ ГОРОДСКАЯ</w:t>
            </w:r>
          </w:p>
          <w:p w14:paraId="27C70A26" w14:textId="77777777" w:rsidR="004B5B54" w:rsidRPr="00B32F5A" w:rsidRDefault="004B5B54" w:rsidP="00012F0C">
            <w:pPr>
              <w:shd w:val="clear" w:color="auto" w:fill="FFFFFF"/>
              <w:spacing w:before="2"/>
              <w:ind w:left="2"/>
              <w:jc w:val="center"/>
              <w:rPr>
                <w:b/>
                <w:color w:val="000000"/>
              </w:rPr>
            </w:pPr>
            <w:r w:rsidRPr="00B32F5A">
              <w:rPr>
                <w:b/>
                <w:color w:val="000000"/>
              </w:rPr>
              <w:t>КЛИНИЧЕСКАЯ БОЛЬНИЦА №8»</w:t>
            </w:r>
          </w:p>
          <w:p w14:paraId="19DD1ABA" w14:textId="77777777" w:rsidR="00012F0C" w:rsidRPr="00B32F5A" w:rsidRDefault="00012F0C" w:rsidP="00012F0C">
            <w:pPr>
              <w:shd w:val="clear" w:color="auto" w:fill="FFFFFF"/>
              <w:spacing w:before="2"/>
              <w:ind w:left="2"/>
              <w:jc w:val="center"/>
              <w:rPr>
                <w:b/>
                <w:color w:val="000000"/>
              </w:rPr>
            </w:pPr>
          </w:p>
          <w:p w14:paraId="52571544" w14:textId="77777777" w:rsidR="004B5B54" w:rsidRPr="00B32F5A" w:rsidRDefault="004B5B54" w:rsidP="00012F0C">
            <w:pPr>
              <w:jc w:val="center"/>
            </w:pPr>
            <w:r w:rsidRPr="00B32F5A">
              <w:t>Ярославского ул., д.  300</w:t>
            </w:r>
          </w:p>
          <w:p w14:paraId="71D7C308" w14:textId="77777777" w:rsidR="004B5B54" w:rsidRPr="00B32F5A" w:rsidRDefault="004B5B54" w:rsidP="00012F0C">
            <w:pPr>
              <w:jc w:val="center"/>
            </w:pPr>
            <w:r w:rsidRPr="00B32F5A">
              <w:t>г. Иркутск, 664048,</w:t>
            </w:r>
          </w:p>
          <w:p w14:paraId="7D61ECA9" w14:textId="77777777" w:rsidR="004B5B54" w:rsidRPr="00B32F5A" w:rsidRDefault="004B5B54" w:rsidP="00012F0C">
            <w:pPr>
              <w:jc w:val="center"/>
            </w:pPr>
            <w:r w:rsidRPr="00B32F5A">
              <w:t>тел./факс (3952) 44-31-30, 44-33-39</w:t>
            </w:r>
          </w:p>
          <w:p w14:paraId="30C0F8D2" w14:textId="17C4E445" w:rsidR="004B5B54" w:rsidRPr="00B32F5A" w:rsidRDefault="004B5B54" w:rsidP="00012F0C">
            <w:pPr>
              <w:jc w:val="center"/>
            </w:pPr>
            <w:r w:rsidRPr="00B32F5A">
              <w:rPr>
                <w:lang w:val="en-US"/>
              </w:rPr>
              <w:t>e</w:t>
            </w:r>
            <w:r w:rsidRPr="00B32F5A">
              <w:t>-</w:t>
            </w:r>
            <w:r w:rsidRPr="00B32F5A">
              <w:rPr>
                <w:lang w:val="en-US"/>
              </w:rPr>
              <w:t>mail</w:t>
            </w:r>
            <w:r w:rsidRPr="00B32F5A">
              <w:t xml:space="preserve">: </w:t>
            </w:r>
            <w:hyperlink r:id="rId8" w:history="1">
              <w:r w:rsidR="001F178A" w:rsidRPr="00B32F5A">
                <w:rPr>
                  <w:rStyle w:val="a5"/>
                  <w:lang w:val="en-US"/>
                </w:rPr>
                <w:t>info</w:t>
              </w:r>
              <w:r w:rsidR="001F178A" w:rsidRPr="00B32F5A">
                <w:rPr>
                  <w:rStyle w:val="a5"/>
                </w:rPr>
                <w:t>@</w:t>
              </w:r>
              <w:r w:rsidR="001F178A" w:rsidRPr="00B32F5A">
                <w:rPr>
                  <w:rStyle w:val="a5"/>
                  <w:lang w:val="en-US"/>
                </w:rPr>
                <w:t>gkb</w:t>
              </w:r>
              <w:r w:rsidR="001F178A" w:rsidRPr="00B32F5A">
                <w:rPr>
                  <w:rStyle w:val="a5"/>
                </w:rPr>
                <w:t>8.</w:t>
              </w:r>
              <w:r w:rsidR="001F178A" w:rsidRPr="00B32F5A">
                <w:rPr>
                  <w:rStyle w:val="a5"/>
                  <w:lang w:val="en-US"/>
                </w:rPr>
                <w:t>ru</w:t>
              </w:r>
            </w:hyperlink>
            <w:r w:rsidRPr="00B32F5A">
              <w:t xml:space="preserve">; </w:t>
            </w:r>
            <w:r w:rsidRPr="00B32F5A">
              <w:rPr>
                <w:lang w:val="en-US"/>
              </w:rPr>
              <w:t>http</w:t>
            </w:r>
            <w:r w:rsidRPr="00B32F5A">
              <w:t>://</w:t>
            </w:r>
            <w:r w:rsidRPr="00B32F5A">
              <w:rPr>
                <w:lang w:val="en-US"/>
              </w:rPr>
              <w:t>www</w:t>
            </w:r>
            <w:r w:rsidRPr="00B32F5A">
              <w:t>.</w:t>
            </w:r>
            <w:r w:rsidRPr="00B32F5A">
              <w:rPr>
                <w:lang w:val="en-US"/>
              </w:rPr>
              <w:t>gkb</w:t>
            </w:r>
            <w:r w:rsidRPr="00B32F5A">
              <w:t>8.</w:t>
            </w:r>
            <w:r w:rsidRPr="00B32F5A">
              <w:rPr>
                <w:lang w:val="en-US"/>
              </w:rPr>
              <w:t>ru</w:t>
            </w:r>
          </w:p>
          <w:p w14:paraId="761659A4" w14:textId="77777777" w:rsidR="004B5B54" w:rsidRPr="00B32F5A" w:rsidRDefault="004B5B54" w:rsidP="00012F0C">
            <w:pPr>
              <w:jc w:val="center"/>
            </w:pPr>
            <w:r w:rsidRPr="00B32F5A">
              <w:t>ОКПО</w:t>
            </w:r>
            <w:r w:rsidR="00102531" w:rsidRPr="00B32F5A">
              <w:t xml:space="preserve"> 05248704</w:t>
            </w:r>
            <w:r w:rsidRPr="00B32F5A">
              <w:t>; ОГРН 1033801430145</w:t>
            </w:r>
          </w:p>
          <w:p w14:paraId="5279E21C" w14:textId="77777777" w:rsidR="004B5B54" w:rsidRPr="00B32F5A" w:rsidRDefault="004B5B54" w:rsidP="00012F0C">
            <w:pPr>
              <w:jc w:val="center"/>
            </w:pPr>
            <w:r w:rsidRPr="00B32F5A">
              <w:t>ИНН/КПП 3810009342/381001001</w:t>
            </w:r>
          </w:p>
          <w:p w14:paraId="28E43DFD" w14:textId="14E565E3" w:rsidR="00012F0C" w:rsidRPr="00B32F5A" w:rsidRDefault="005B4A39" w:rsidP="00012F0C">
            <w:pPr>
              <w:jc w:val="center"/>
              <w:rPr>
                <w:color w:val="000000"/>
              </w:rPr>
            </w:pPr>
            <w:r w:rsidRPr="00B32F5A">
              <w:rPr>
                <w:color w:val="000000"/>
              </w:rPr>
              <w:t>________________</w:t>
            </w:r>
            <w:r w:rsidR="00C1213E" w:rsidRPr="00B32F5A">
              <w:rPr>
                <w:color w:val="000000"/>
              </w:rPr>
              <w:t xml:space="preserve"> </w:t>
            </w:r>
            <w:proofErr w:type="gramStart"/>
            <w:r w:rsidR="00C1213E" w:rsidRPr="00B32F5A">
              <w:rPr>
                <w:color w:val="000000"/>
              </w:rPr>
              <w:t>г</w:t>
            </w:r>
            <w:proofErr w:type="gramEnd"/>
            <w:r w:rsidR="00C1213E" w:rsidRPr="00B32F5A">
              <w:rPr>
                <w:color w:val="000000"/>
              </w:rPr>
              <w:t>.</w:t>
            </w:r>
            <w:r w:rsidR="004B5B54" w:rsidRPr="00B32F5A">
              <w:rPr>
                <w:color w:val="000000"/>
              </w:rPr>
              <w:t xml:space="preserve"> № </w:t>
            </w:r>
            <w:r w:rsidRPr="00B32F5A">
              <w:rPr>
                <w:color w:val="000000"/>
              </w:rPr>
              <w:t>___________</w:t>
            </w:r>
          </w:p>
          <w:p w14:paraId="572AE960" w14:textId="77777777" w:rsidR="004B5B54" w:rsidRPr="00B32F5A" w:rsidRDefault="004B5B54" w:rsidP="00012F0C">
            <w:pPr>
              <w:jc w:val="center"/>
              <w:rPr>
                <w:b/>
                <w:color w:val="000000"/>
              </w:rPr>
            </w:pPr>
            <w:r w:rsidRPr="00B32F5A">
              <w:rPr>
                <w:color w:val="000000"/>
              </w:rPr>
              <w:t>На № __________</w:t>
            </w:r>
            <w:r w:rsidRPr="00B32F5A">
              <w:rPr>
                <w:b/>
                <w:color w:val="000000"/>
              </w:rPr>
              <w:t xml:space="preserve"> от___________</w:t>
            </w:r>
          </w:p>
          <w:p w14:paraId="2447F93E" w14:textId="77777777" w:rsidR="00012F0C" w:rsidRPr="00B32F5A" w:rsidRDefault="00012F0C" w:rsidP="00012F0C">
            <w:pPr>
              <w:jc w:val="center"/>
            </w:pPr>
          </w:p>
        </w:tc>
        <w:tc>
          <w:tcPr>
            <w:tcW w:w="474" w:type="dxa"/>
          </w:tcPr>
          <w:p w14:paraId="7831928A" w14:textId="77777777" w:rsidR="004B5B54" w:rsidRPr="00B32F5A" w:rsidRDefault="004B5B54" w:rsidP="00012F0C">
            <w:pPr>
              <w:spacing w:line="276" w:lineRule="auto"/>
              <w:jc w:val="center"/>
            </w:pPr>
          </w:p>
        </w:tc>
        <w:tc>
          <w:tcPr>
            <w:tcW w:w="4677" w:type="dxa"/>
          </w:tcPr>
          <w:p w14:paraId="20CFC23A" w14:textId="77777777" w:rsidR="004B5B54" w:rsidRPr="00B32F5A" w:rsidRDefault="004B5B54" w:rsidP="00012F0C">
            <w:pPr>
              <w:spacing w:line="276" w:lineRule="auto"/>
              <w:jc w:val="center"/>
            </w:pPr>
          </w:p>
          <w:p w14:paraId="5D5AFBEB" w14:textId="77777777" w:rsidR="004B5B54" w:rsidRPr="00B32F5A" w:rsidRDefault="004B5B54" w:rsidP="00794C52"/>
        </w:tc>
      </w:tr>
    </w:tbl>
    <w:p w14:paraId="1B9E72AD" w14:textId="77777777" w:rsidR="00F91459" w:rsidRPr="00B32F5A" w:rsidRDefault="00F91459" w:rsidP="00F91459">
      <w:pPr>
        <w:ind w:firstLine="708"/>
        <w:jc w:val="both"/>
      </w:pPr>
    </w:p>
    <w:p w14:paraId="5AC0C9EF" w14:textId="2D801037" w:rsidR="00316D23" w:rsidRPr="00B32F5A" w:rsidRDefault="00794C52" w:rsidP="00B32F5A">
      <w:pPr>
        <w:ind w:firstLine="708"/>
        <w:jc w:val="both"/>
        <w:rPr>
          <w:b/>
          <w:kern w:val="32"/>
        </w:rPr>
      </w:pPr>
      <w:r w:rsidRPr="00B32F5A">
        <w:t xml:space="preserve">В ответ на запрос от </w:t>
      </w:r>
      <w:r w:rsidR="00B32F5A" w:rsidRPr="00B32F5A">
        <w:t>29.02.2024</w:t>
      </w:r>
      <w:r w:rsidR="00D456E6" w:rsidRPr="00B32F5A">
        <w:t>г.</w:t>
      </w:r>
      <w:r w:rsidR="00B32F5A" w:rsidRPr="00B32F5A">
        <w:t xml:space="preserve"> № 44715</w:t>
      </w:r>
      <w:r w:rsidR="00D456E6" w:rsidRPr="00B32F5A">
        <w:t xml:space="preserve"> </w:t>
      </w:r>
      <w:r w:rsidRPr="00B32F5A">
        <w:t xml:space="preserve">на разъяснение положений </w:t>
      </w:r>
      <w:r w:rsidR="00B32F5A" w:rsidRPr="00B32F5A">
        <w:rPr>
          <w:kern w:val="32"/>
        </w:rPr>
        <w:t>о проведении закупки на поставку бумажных медицинских изделий путем запроса котировок в электронной форме, участниками которого могут являться только субъекты малого и среднего предпринимательства № 043-24</w:t>
      </w:r>
      <w:r w:rsidR="00F91459" w:rsidRPr="00B32F5A">
        <w:rPr>
          <w:kern w:val="32"/>
        </w:rPr>
        <w:t xml:space="preserve"> </w:t>
      </w:r>
      <w:r w:rsidRPr="00B32F5A">
        <w:t>(далее – Извещение) сообщаем нижеследующее:</w:t>
      </w:r>
      <w:r w:rsidR="00D456E6" w:rsidRPr="00B32F5A">
        <w:t xml:space="preserve"> </w:t>
      </w:r>
    </w:p>
    <w:tbl>
      <w:tblPr>
        <w:tblpPr w:leftFromText="180" w:rightFromText="180" w:vertAnchor="text" w:horzAnchor="margin" w:tblpY="103"/>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920"/>
        <w:gridCol w:w="4253"/>
      </w:tblGrid>
      <w:tr w:rsidR="003917C2" w:rsidRPr="00B32F5A" w14:paraId="2F126CC0" w14:textId="77777777" w:rsidTr="00A66F23">
        <w:tc>
          <w:tcPr>
            <w:tcW w:w="567" w:type="dxa"/>
          </w:tcPr>
          <w:p w14:paraId="310FC3D2" w14:textId="77777777" w:rsidR="003917C2" w:rsidRPr="00B32F5A" w:rsidRDefault="003917C2" w:rsidP="00316D23">
            <w:pPr>
              <w:rPr>
                <w:sz w:val="20"/>
                <w:szCs w:val="20"/>
              </w:rPr>
            </w:pPr>
            <w:r w:rsidRPr="00B32F5A">
              <w:rPr>
                <w:sz w:val="20"/>
                <w:szCs w:val="20"/>
              </w:rPr>
              <w:t xml:space="preserve">№ </w:t>
            </w:r>
            <w:proofErr w:type="gramStart"/>
            <w:r w:rsidRPr="00B32F5A">
              <w:rPr>
                <w:sz w:val="20"/>
                <w:szCs w:val="20"/>
              </w:rPr>
              <w:t>п</w:t>
            </w:r>
            <w:proofErr w:type="gramEnd"/>
            <w:r w:rsidRPr="00B32F5A">
              <w:rPr>
                <w:sz w:val="20"/>
                <w:szCs w:val="20"/>
              </w:rPr>
              <w:t>/п</w:t>
            </w:r>
          </w:p>
        </w:tc>
        <w:tc>
          <w:tcPr>
            <w:tcW w:w="5920" w:type="dxa"/>
          </w:tcPr>
          <w:p w14:paraId="44D81BA4" w14:textId="77777777" w:rsidR="003917C2" w:rsidRPr="00B32F5A" w:rsidRDefault="003917C2" w:rsidP="00671AB8">
            <w:pPr>
              <w:jc w:val="center"/>
              <w:rPr>
                <w:sz w:val="20"/>
                <w:szCs w:val="20"/>
              </w:rPr>
            </w:pPr>
            <w:r w:rsidRPr="00B32F5A">
              <w:rPr>
                <w:sz w:val="20"/>
                <w:szCs w:val="20"/>
              </w:rPr>
              <w:t>Содержание запроса на разъяснение положений Извещения</w:t>
            </w:r>
          </w:p>
        </w:tc>
        <w:tc>
          <w:tcPr>
            <w:tcW w:w="4253" w:type="dxa"/>
          </w:tcPr>
          <w:p w14:paraId="31A93FF1" w14:textId="77777777" w:rsidR="003917C2" w:rsidRPr="00B32F5A" w:rsidRDefault="003917C2" w:rsidP="00D837CA">
            <w:pPr>
              <w:jc w:val="center"/>
              <w:rPr>
                <w:bCs/>
                <w:sz w:val="20"/>
                <w:szCs w:val="20"/>
              </w:rPr>
            </w:pPr>
            <w:r w:rsidRPr="00B32F5A">
              <w:rPr>
                <w:bCs/>
                <w:sz w:val="20"/>
                <w:szCs w:val="20"/>
              </w:rPr>
              <w:t>Содержание ответа на запрос:</w:t>
            </w:r>
          </w:p>
          <w:p w14:paraId="4506C077" w14:textId="77777777" w:rsidR="003917C2" w:rsidRPr="00B32F5A" w:rsidRDefault="003917C2" w:rsidP="00D837CA">
            <w:pPr>
              <w:jc w:val="center"/>
              <w:rPr>
                <w:sz w:val="20"/>
                <w:szCs w:val="20"/>
              </w:rPr>
            </w:pPr>
          </w:p>
        </w:tc>
      </w:tr>
      <w:tr w:rsidR="006D5468" w:rsidRPr="00B32F5A" w14:paraId="6D732177" w14:textId="77777777" w:rsidTr="00A66F23">
        <w:tc>
          <w:tcPr>
            <w:tcW w:w="567" w:type="dxa"/>
          </w:tcPr>
          <w:p w14:paraId="6B66FD89" w14:textId="0C403529" w:rsidR="006D5468" w:rsidRPr="00B32F5A" w:rsidRDefault="00622947" w:rsidP="006D5468">
            <w:pPr>
              <w:jc w:val="center"/>
              <w:rPr>
                <w:sz w:val="20"/>
                <w:szCs w:val="20"/>
              </w:rPr>
            </w:pPr>
            <w:r w:rsidRPr="00B32F5A">
              <w:rPr>
                <w:sz w:val="20"/>
                <w:szCs w:val="20"/>
              </w:rPr>
              <w:t>1</w:t>
            </w:r>
            <w:r w:rsidR="006D5468" w:rsidRPr="00B32F5A">
              <w:rPr>
                <w:sz w:val="20"/>
                <w:szCs w:val="20"/>
              </w:rPr>
              <w:t>.</w:t>
            </w:r>
          </w:p>
        </w:tc>
        <w:tc>
          <w:tcPr>
            <w:tcW w:w="5920" w:type="dxa"/>
          </w:tcPr>
          <w:p w14:paraId="63E254D3" w14:textId="77777777" w:rsidR="00B32F5A" w:rsidRPr="00B32F5A" w:rsidRDefault="00B32F5A" w:rsidP="00B32F5A">
            <w:pPr>
              <w:rPr>
                <w:sz w:val="20"/>
                <w:szCs w:val="20"/>
              </w:rPr>
            </w:pPr>
            <w:r w:rsidRPr="00B32F5A">
              <w:rPr>
                <w:sz w:val="20"/>
                <w:szCs w:val="20"/>
              </w:rPr>
              <w:t xml:space="preserve">Уважаемый Заказчик! </w:t>
            </w:r>
          </w:p>
          <w:p w14:paraId="7CDCFFB6" w14:textId="030C5885" w:rsidR="00B32F5A" w:rsidRPr="00B32F5A" w:rsidRDefault="00B32F5A" w:rsidP="00B32F5A">
            <w:pPr>
              <w:rPr>
                <w:sz w:val="20"/>
                <w:szCs w:val="20"/>
              </w:rPr>
            </w:pPr>
            <w:proofErr w:type="gramStart"/>
            <w:r w:rsidRPr="00B32F5A">
              <w:rPr>
                <w:sz w:val="20"/>
                <w:szCs w:val="20"/>
              </w:rPr>
              <w:t>По</w:t>
            </w:r>
            <w:proofErr w:type="gramEnd"/>
            <w:r w:rsidRPr="00B32F5A">
              <w:rPr>
                <w:sz w:val="20"/>
                <w:szCs w:val="20"/>
              </w:rPr>
              <w:t xml:space="preserve"> </w:t>
            </w:r>
            <w:proofErr w:type="gramStart"/>
            <w:r w:rsidRPr="00B32F5A">
              <w:rPr>
                <w:sz w:val="20"/>
                <w:szCs w:val="20"/>
              </w:rPr>
              <w:t>поз</w:t>
            </w:r>
            <w:proofErr w:type="gramEnd"/>
            <w:r w:rsidRPr="00B32F5A">
              <w:rPr>
                <w:sz w:val="20"/>
                <w:szCs w:val="20"/>
              </w:rPr>
              <w:t xml:space="preserve">. 9 тех. описания у вас указана характеристика «наличие прорези». Электроды, описываемые в ТЗ, не являются уникальными с точки зрения снятия показаний при </w:t>
            </w:r>
            <w:proofErr w:type="spellStart"/>
            <w:r w:rsidRPr="00B32F5A">
              <w:rPr>
                <w:sz w:val="20"/>
                <w:szCs w:val="20"/>
              </w:rPr>
              <w:t>холтеровском</w:t>
            </w:r>
            <w:proofErr w:type="spellEnd"/>
            <w:r w:rsidRPr="00B32F5A">
              <w:rPr>
                <w:sz w:val="20"/>
                <w:szCs w:val="20"/>
              </w:rPr>
              <w:t xml:space="preserve"> </w:t>
            </w:r>
            <w:proofErr w:type="spellStart"/>
            <w:r w:rsidRPr="00B32F5A">
              <w:rPr>
                <w:sz w:val="20"/>
                <w:szCs w:val="20"/>
              </w:rPr>
              <w:t>мониторировании</w:t>
            </w:r>
            <w:proofErr w:type="spellEnd"/>
            <w:r w:rsidRPr="00B32F5A">
              <w:rPr>
                <w:sz w:val="20"/>
                <w:szCs w:val="20"/>
              </w:rPr>
              <w:t xml:space="preserve">. Они ТАК ЖЕ, как и остальные электроды, снимают показания. Прорезь не дает преимуществ перед остальными электродами. Это способ крепления кабеля! А кабель может крепиться разными способами! Настаивать на конкретном способе крепления кабеля из числа нескольких возможных и есть ограничение! Способ крепления не относится к самой процедуре снятия показаний. В большинстве электродов, направленных на применение их в требуемых Заказчику процедурах, никакой прорези нет. И это никак не мешает специалистам лечебных учреждений использовать их по их прямому назначению. При желании специалист всегда может закрепить кабель на теле пациента, заведя его за электрод или зафиксировав его на теле пациента в нескольких местах. Прорезь в данном случае не уникальна! А вот требование к поставке электродов, представленных единственным производителем – это нарушение законодательства. </w:t>
            </w:r>
          </w:p>
          <w:p w14:paraId="454AD9E2" w14:textId="77777777" w:rsidR="00B32F5A" w:rsidRPr="00B32F5A" w:rsidRDefault="00B32F5A" w:rsidP="00B32F5A">
            <w:pPr>
              <w:rPr>
                <w:sz w:val="20"/>
                <w:szCs w:val="20"/>
              </w:rPr>
            </w:pPr>
            <w:r w:rsidRPr="00B32F5A">
              <w:rPr>
                <w:sz w:val="20"/>
                <w:szCs w:val="20"/>
              </w:rPr>
              <w:t xml:space="preserve">Обращаем ваше внимание, что в Письме ФАС России от 01.06.2012 года № АГ/17358 </w:t>
            </w:r>
            <w:proofErr w:type="gramStart"/>
            <w:r w:rsidRPr="00B32F5A">
              <w:rPr>
                <w:sz w:val="20"/>
                <w:szCs w:val="20"/>
              </w:rPr>
              <w:t>указано</w:t>
            </w:r>
            <w:proofErr w:type="gramEnd"/>
            <w:r w:rsidRPr="00B32F5A">
              <w:rPr>
                <w:sz w:val="20"/>
                <w:szCs w:val="20"/>
              </w:rPr>
              <w:t xml:space="preserve"> что требования к качеству, техническим характеристикам товаров, работ, услуг, к их безопасности, функциональным характеристикам товара, упаковке, размерам и </w:t>
            </w:r>
            <w:proofErr w:type="spellStart"/>
            <w:r w:rsidRPr="00B32F5A">
              <w:rPr>
                <w:sz w:val="20"/>
                <w:szCs w:val="20"/>
              </w:rPr>
              <w:t>тд</w:t>
            </w:r>
            <w:proofErr w:type="spellEnd"/>
            <w:r w:rsidRPr="00B32F5A">
              <w:rPr>
                <w:sz w:val="20"/>
                <w:szCs w:val="20"/>
              </w:rPr>
              <w:t xml:space="preserve">., установленным в документации о торгах, не должны приводить к ограничению количества участников размещения заказа. Установленные требования являются правомерными, если совокупность требований к товару не указывает на единственного производителя и представлены сведения о наличии нескольких производителей, выпускающих товар с такими характеристиками. </w:t>
            </w:r>
          </w:p>
          <w:p w14:paraId="63959B2D" w14:textId="77777777" w:rsidR="00B32F5A" w:rsidRPr="00B32F5A" w:rsidRDefault="00B32F5A" w:rsidP="00B32F5A">
            <w:pPr>
              <w:rPr>
                <w:sz w:val="20"/>
                <w:szCs w:val="20"/>
              </w:rPr>
            </w:pPr>
            <w:r w:rsidRPr="00B32F5A">
              <w:rPr>
                <w:sz w:val="20"/>
                <w:szCs w:val="20"/>
              </w:rPr>
              <w:t xml:space="preserve">Ключевым обстоятельством в определении правомерности действий Заказчика является наличие нескольких производителей, которые осуществляют производство и выпуск товаров, имеющих обозначенные характеристики. Эта позиция следует из решений ФАС России </w:t>
            </w:r>
            <w:proofErr w:type="gramStart"/>
            <w:r w:rsidRPr="00B32F5A">
              <w:rPr>
                <w:sz w:val="20"/>
                <w:szCs w:val="20"/>
              </w:rPr>
              <w:t xml:space="preserve">( </w:t>
            </w:r>
            <w:proofErr w:type="gramEnd"/>
            <w:r w:rsidRPr="00B32F5A">
              <w:rPr>
                <w:sz w:val="20"/>
                <w:szCs w:val="20"/>
              </w:rPr>
              <w:t xml:space="preserve">Решение ФАС России от 01.12.2014 по делу № К-1765/14, Решение ФАС России от </w:t>
            </w:r>
            <w:r w:rsidRPr="00B32F5A">
              <w:rPr>
                <w:sz w:val="20"/>
                <w:szCs w:val="20"/>
              </w:rPr>
              <w:lastRenderedPageBreak/>
              <w:t xml:space="preserve">26.11.2015 по делу № К01741/14, Решение ФАС России от 30.09.2014 по делу № К-1425/14, Решение УФАС по г. Москве по делу № 077/06/57-10595/2019 о нарушении законодательства об осуществлении закупок, Решение УФАС по г. Москве </w:t>
            </w:r>
            <w:r w:rsidRPr="00B32F5A">
              <w:rPr>
                <w:sz w:val="20"/>
                <w:szCs w:val="20"/>
              </w:rPr>
              <w:tab/>
              <w:t>по делу № 2-57-14827/77-18 о нарушении законодательства об осуществлении закупок, Решение УФАС по г. Санкт-Петербургу по делу № 078/06/66-1176/2019 от 26.09.2019). Аналогичной позиции придерживаются и суды.</w:t>
            </w:r>
          </w:p>
          <w:p w14:paraId="691970D2" w14:textId="7D6EF2A6" w:rsidR="006D5468" w:rsidRPr="00B32F5A" w:rsidRDefault="00B32F5A" w:rsidP="00B32F5A">
            <w:pPr>
              <w:rPr>
                <w:sz w:val="20"/>
                <w:szCs w:val="20"/>
              </w:rPr>
            </w:pPr>
            <w:r w:rsidRPr="00B32F5A">
              <w:rPr>
                <w:sz w:val="20"/>
                <w:szCs w:val="20"/>
              </w:rPr>
              <w:t xml:space="preserve">Мы обращаем внимание на излишние требования и требуем устранить ограничения ТЗ, исключив требование о прорези: В случае отказа от внесения изменений в аукционную документацию, будем вынуждены </w:t>
            </w:r>
            <w:proofErr w:type="gramStart"/>
            <w:r w:rsidRPr="00B32F5A">
              <w:rPr>
                <w:sz w:val="20"/>
                <w:szCs w:val="20"/>
              </w:rPr>
              <w:t>обратиться с жалобой в УФАС с требованием внести</w:t>
            </w:r>
            <w:proofErr w:type="gramEnd"/>
            <w:r w:rsidRPr="00B32F5A">
              <w:rPr>
                <w:sz w:val="20"/>
                <w:szCs w:val="20"/>
              </w:rPr>
              <w:t xml:space="preserve"> изменения в документацию и привлечь должностных лиц заказчика к ответственности.</w:t>
            </w:r>
          </w:p>
        </w:tc>
        <w:tc>
          <w:tcPr>
            <w:tcW w:w="4253" w:type="dxa"/>
          </w:tcPr>
          <w:p w14:paraId="2EED9F89" w14:textId="77777777" w:rsidR="00F7251E" w:rsidRDefault="00F7251E" w:rsidP="00B32F5A">
            <w:pPr>
              <w:rPr>
                <w:bCs/>
                <w:sz w:val="20"/>
                <w:szCs w:val="20"/>
              </w:rPr>
            </w:pPr>
            <w:r>
              <w:rPr>
                <w:bCs/>
                <w:sz w:val="20"/>
                <w:szCs w:val="20"/>
              </w:rPr>
              <w:lastRenderedPageBreak/>
              <w:t xml:space="preserve">Требование наличия прорези для фиксации кабеля обосновано использованием электродов для длительного </w:t>
            </w:r>
            <w:proofErr w:type="spellStart"/>
            <w:r>
              <w:rPr>
                <w:bCs/>
                <w:sz w:val="20"/>
                <w:szCs w:val="20"/>
              </w:rPr>
              <w:t>холтеровского</w:t>
            </w:r>
            <w:proofErr w:type="spellEnd"/>
            <w:r>
              <w:rPr>
                <w:bCs/>
                <w:sz w:val="20"/>
                <w:szCs w:val="20"/>
              </w:rPr>
              <w:t xml:space="preserve"> </w:t>
            </w:r>
            <w:proofErr w:type="spellStart"/>
            <w:r>
              <w:rPr>
                <w:bCs/>
                <w:sz w:val="20"/>
                <w:szCs w:val="20"/>
              </w:rPr>
              <w:t>мониторирования</w:t>
            </w:r>
            <w:proofErr w:type="spellEnd"/>
            <w:r>
              <w:rPr>
                <w:bCs/>
                <w:sz w:val="20"/>
                <w:szCs w:val="20"/>
              </w:rPr>
              <w:t xml:space="preserve"> </w:t>
            </w:r>
            <w:r w:rsidRPr="00F7251E">
              <w:rPr>
                <w:b/>
                <w:bCs/>
                <w:sz w:val="20"/>
                <w:szCs w:val="20"/>
                <w:u w:val="single"/>
              </w:rPr>
              <w:t xml:space="preserve">в Отделение анестезиологии-реанимации для взрослого населения. </w:t>
            </w:r>
          </w:p>
          <w:p w14:paraId="0C8EC10B" w14:textId="6D0E29DA" w:rsidR="00B32F5A" w:rsidRPr="00B32F5A" w:rsidRDefault="00B32F5A" w:rsidP="00B32F5A">
            <w:pPr>
              <w:rPr>
                <w:bCs/>
                <w:sz w:val="20"/>
                <w:szCs w:val="20"/>
              </w:rPr>
            </w:pPr>
            <w:r w:rsidRPr="00B32F5A">
              <w:rPr>
                <w:bCs/>
                <w:sz w:val="20"/>
                <w:szCs w:val="20"/>
              </w:rPr>
              <w:t>При обычном электрокардиографическом исследовании, которое ведётся в покое и длится несколько минут, а расшифровка ЭКГ производится кардиологом, помех при съёме ЭКГ можно избежать, а их небольшое влияние не мешает расшифровке ЭКГ. При длительном автоматическом анализе электро-</w:t>
            </w:r>
            <w:proofErr w:type="spellStart"/>
            <w:r w:rsidRPr="00B32F5A">
              <w:rPr>
                <w:bCs/>
                <w:sz w:val="20"/>
                <w:szCs w:val="20"/>
              </w:rPr>
              <w:t>кардио</w:t>
            </w:r>
            <w:proofErr w:type="spellEnd"/>
            <w:r w:rsidRPr="00B32F5A">
              <w:rPr>
                <w:bCs/>
                <w:sz w:val="20"/>
                <w:szCs w:val="20"/>
              </w:rPr>
              <w:t xml:space="preserve"> сигнала, что происходит при </w:t>
            </w:r>
            <w:proofErr w:type="spellStart"/>
            <w:r w:rsidRPr="00B32F5A">
              <w:rPr>
                <w:bCs/>
                <w:sz w:val="20"/>
                <w:szCs w:val="20"/>
              </w:rPr>
              <w:t>холтеровском</w:t>
            </w:r>
            <w:proofErr w:type="spellEnd"/>
            <w:r w:rsidRPr="00B32F5A">
              <w:rPr>
                <w:bCs/>
                <w:sz w:val="20"/>
                <w:szCs w:val="20"/>
              </w:rPr>
              <w:t xml:space="preserve"> </w:t>
            </w:r>
            <w:proofErr w:type="spellStart"/>
            <w:r w:rsidRPr="00B32F5A">
              <w:rPr>
                <w:bCs/>
                <w:sz w:val="20"/>
                <w:szCs w:val="20"/>
              </w:rPr>
              <w:t>мониторировании</w:t>
            </w:r>
            <w:proofErr w:type="spellEnd"/>
            <w:r w:rsidRPr="00B32F5A">
              <w:rPr>
                <w:bCs/>
                <w:sz w:val="20"/>
                <w:szCs w:val="20"/>
              </w:rPr>
              <w:t xml:space="preserve">, невозможно исключить двигательную активность больного и кардиомонитор из-за помех будет давать большое число ошибок, уменьшить которое можно с помощью специальных электродов. Поэтому Заказчик заказал </w:t>
            </w:r>
            <w:proofErr w:type="gramStart"/>
            <w:r w:rsidRPr="00B32F5A">
              <w:rPr>
                <w:bCs/>
                <w:sz w:val="20"/>
                <w:szCs w:val="20"/>
              </w:rPr>
              <w:t>электроды</w:t>
            </w:r>
            <w:proofErr w:type="gramEnd"/>
            <w:r w:rsidRPr="00B32F5A">
              <w:rPr>
                <w:bCs/>
                <w:sz w:val="20"/>
                <w:szCs w:val="20"/>
              </w:rPr>
              <w:t xml:space="preserve"> с помощью которых без дополнительных манипуляций можно было бы закрепить подводящие провода для исключения:</w:t>
            </w:r>
          </w:p>
          <w:p w14:paraId="5B908CCD" w14:textId="77777777" w:rsidR="00B32F5A" w:rsidRPr="00B32F5A" w:rsidRDefault="00B32F5A" w:rsidP="00B32F5A">
            <w:pPr>
              <w:rPr>
                <w:bCs/>
                <w:sz w:val="20"/>
                <w:szCs w:val="20"/>
              </w:rPr>
            </w:pPr>
            <w:r w:rsidRPr="00B32F5A">
              <w:rPr>
                <w:bCs/>
                <w:sz w:val="20"/>
                <w:szCs w:val="20"/>
              </w:rPr>
              <w:t xml:space="preserve">- помех, вносимых </w:t>
            </w:r>
            <w:proofErr w:type="gramStart"/>
            <w:r w:rsidRPr="00B32F5A">
              <w:rPr>
                <w:bCs/>
                <w:sz w:val="20"/>
                <w:szCs w:val="20"/>
              </w:rPr>
              <w:t>в</w:t>
            </w:r>
            <w:proofErr w:type="gramEnd"/>
            <w:r w:rsidRPr="00B32F5A">
              <w:rPr>
                <w:bCs/>
                <w:sz w:val="20"/>
                <w:szCs w:val="20"/>
              </w:rPr>
              <w:t xml:space="preserve"> ЭКС шевелением проводов;</w:t>
            </w:r>
          </w:p>
          <w:p w14:paraId="100A1277" w14:textId="53766B17" w:rsidR="00F91459" w:rsidRPr="00B32F5A" w:rsidRDefault="00B32F5A" w:rsidP="00B32F5A">
            <w:pPr>
              <w:rPr>
                <w:bCs/>
                <w:sz w:val="20"/>
                <w:szCs w:val="20"/>
              </w:rPr>
            </w:pPr>
            <w:r w:rsidRPr="00B32F5A">
              <w:rPr>
                <w:bCs/>
                <w:sz w:val="20"/>
                <w:szCs w:val="20"/>
              </w:rPr>
              <w:t xml:space="preserve">- влияния натяжения проводов от движения пациента на электрод, которое может привести к отрыву электрода. </w:t>
            </w:r>
          </w:p>
        </w:tc>
      </w:tr>
      <w:tr w:rsidR="00B32F5A" w:rsidRPr="00B32F5A" w14:paraId="213F8003" w14:textId="77777777" w:rsidTr="00A66F23">
        <w:tc>
          <w:tcPr>
            <w:tcW w:w="567" w:type="dxa"/>
          </w:tcPr>
          <w:p w14:paraId="3686E0C9" w14:textId="2AFD6BDA" w:rsidR="00B32F5A" w:rsidRPr="00B32F5A" w:rsidRDefault="00B32F5A" w:rsidP="006D5468">
            <w:pPr>
              <w:jc w:val="center"/>
              <w:rPr>
                <w:sz w:val="20"/>
                <w:szCs w:val="20"/>
              </w:rPr>
            </w:pPr>
            <w:r>
              <w:rPr>
                <w:sz w:val="20"/>
                <w:szCs w:val="20"/>
              </w:rPr>
              <w:lastRenderedPageBreak/>
              <w:t>2</w:t>
            </w:r>
          </w:p>
        </w:tc>
        <w:tc>
          <w:tcPr>
            <w:tcW w:w="5920" w:type="dxa"/>
          </w:tcPr>
          <w:p w14:paraId="6F6A58A2" w14:textId="26A97CFC" w:rsidR="00B32F5A" w:rsidRPr="00B32F5A" w:rsidRDefault="00B32F5A" w:rsidP="00B32F5A">
            <w:pPr>
              <w:rPr>
                <w:sz w:val="20"/>
                <w:szCs w:val="20"/>
              </w:rPr>
            </w:pPr>
            <w:r w:rsidRPr="00B32F5A">
              <w:rPr>
                <w:color w:val="000000"/>
                <w:sz w:val="20"/>
                <w:szCs w:val="20"/>
              </w:rPr>
              <w:t xml:space="preserve">По поз. 10 тех. описания, указанный диапазон размеров электродов подпадают под размерный ряд определенного </w:t>
            </w:r>
            <w:proofErr w:type="gramStart"/>
            <w:r w:rsidRPr="00B32F5A">
              <w:rPr>
                <w:color w:val="000000"/>
                <w:sz w:val="20"/>
                <w:szCs w:val="20"/>
              </w:rPr>
              <w:t>производителя</w:t>
            </w:r>
            <w:proofErr w:type="gramEnd"/>
            <w:r w:rsidRPr="00B32F5A">
              <w:rPr>
                <w:color w:val="000000"/>
                <w:sz w:val="20"/>
                <w:szCs w:val="20"/>
              </w:rPr>
              <w:t xml:space="preserve"> и наличие жидкого геля говорит об этом.  </w:t>
            </w:r>
            <w:r w:rsidRPr="00B32F5A">
              <w:rPr>
                <w:bCs/>
                <w:sz w:val="20"/>
                <w:szCs w:val="20"/>
              </w:rPr>
              <w:t xml:space="preserve">Вы запрашиваете электроды с типом геля "жидкий". Просим дать ответ - будет ли допущена заявка с предложением аналогичных электродов, только с типом геля "твердый". Дело в том, что твердый гель значительно превосходит жидкий по функциональным характеристикам и более широко применяется в лечебных учреждениях, т.к. ввиду отсутствия жидкой основы, пропитанной в поролоновую губку, твердый тип геля </w:t>
            </w:r>
            <w:proofErr w:type="gramStart"/>
            <w:r w:rsidRPr="00B32F5A">
              <w:rPr>
                <w:bCs/>
                <w:sz w:val="20"/>
                <w:szCs w:val="20"/>
              </w:rPr>
              <w:t>способен более продолжительное время находится</w:t>
            </w:r>
            <w:proofErr w:type="gramEnd"/>
            <w:r w:rsidRPr="00B32F5A">
              <w:rPr>
                <w:bCs/>
                <w:sz w:val="20"/>
                <w:szCs w:val="20"/>
              </w:rPr>
              <w:t xml:space="preserve"> на теле пациента без высыхания. Просим внести изменения или просто дать ответ.</w:t>
            </w:r>
          </w:p>
        </w:tc>
        <w:tc>
          <w:tcPr>
            <w:tcW w:w="4253" w:type="dxa"/>
          </w:tcPr>
          <w:p w14:paraId="36FF7204" w14:textId="77777777" w:rsidR="00B32F5A" w:rsidRDefault="00F7251E" w:rsidP="00533944">
            <w:pPr>
              <w:rPr>
                <w:bCs/>
                <w:sz w:val="20"/>
                <w:szCs w:val="20"/>
              </w:rPr>
            </w:pPr>
            <w:r>
              <w:rPr>
                <w:bCs/>
                <w:sz w:val="20"/>
                <w:szCs w:val="20"/>
              </w:rPr>
              <w:t xml:space="preserve">Заказчик в п. 10 </w:t>
            </w:r>
            <w:proofErr w:type="gramStart"/>
            <w:r>
              <w:rPr>
                <w:bCs/>
                <w:sz w:val="20"/>
                <w:szCs w:val="20"/>
              </w:rPr>
              <w:t>Технического</w:t>
            </w:r>
            <w:proofErr w:type="gramEnd"/>
            <w:r>
              <w:rPr>
                <w:bCs/>
                <w:sz w:val="20"/>
                <w:szCs w:val="20"/>
              </w:rPr>
              <w:t xml:space="preserve"> задание установил требование:</w:t>
            </w:r>
            <w:r>
              <w:t xml:space="preserve"> </w:t>
            </w:r>
            <w:r w:rsidRPr="00F7251E">
              <w:rPr>
                <w:b/>
                <w:bCs/>
                <w:sz w:val="20"/>
                <w:szCs w:val="20"/>
              </w:rPr>
              <w:t>Вид геля - антиаллергенный жидкий гель</w:t>
            </w:r>
            <w:r>
              <w:rPr>
                <w:b/>
                <w:bCs/>
                <w:sz w:val="20"/>
                <w:szCs w:val="20"/>
              </w:rPr>
              <w:t>.</w:t>
            </w:r>
            <w:r>
              <w:rPr>
                <w:bCs/>
                <w:sz w:val="20"/>
                <w:szCs w:val="20"/>
              </w:rPr>
              <w:t xml:space="preserve"> </w:t>
            </w:r>
          </w:p>
          <w:p w14:paraId="2C789A2A" w14:textId="77777777" w:rsidR="00F7251E" w:rsidRDefault="00F7251E" w:rsidP="00533944">
            <w:pPr>
              <w:rPr>
                <w:bCs/>
                <w:sz w:val="20"/>
                <w:szCs w:val="20"/>
              </w:rPr>
            </w:pPr>
            <w:r>
              <w:rPr>
                <w:bCs/>
                <w:sz w:val="20"/>
                <w:szCs w:val="20"/>
              </w:rPr>
              <w:t>Таким образом, заявка, содержащая в п. 10 характеристику – твердый гель, будет признана не соответствующей Техническому заданию.</w:t>
            </w:r>
          </w:p>
          <w:p w14:paraId="5DD721FB" w14:textId="34B08A63" w:rsidR="00F7251E" w:rsidRPr="00F7251E" w:rsidRDefault="00F7251E" w:rsidP="00533944">
            <w:pPr>
              <w:rPr>
                <w:bCs/>
                <w:sz w:val="20"/>
                <w:szCs w:val="20"/>
              </w:rPr>
            </w:pPr>
            <w:r>
              <w:rPr>
                <w:bCs/>
                <w:sz w:val="20"/>
                <w:szCs w:val="20"/>
              </w:rPr>
              <w:t>Обращаем внимание, что на рынке присутствует товар минимум двух производителей по данной позиции Технического задания.</w:t>
            </w:r>
          </w:p>
        </w:tc>
      </w:tr>
      <w:tr w:rsidR="00B32F5A" w:rsidRPr="00B32F5A" w14:paraId="0BBE9F99" w14:textId="77777777" w:rsidTr="00A66F23">
        <w:tc>
          <w:tcPr>
            <w:tcW w:w="567" w:type="dxa"/>
          </w:tcPr>
          <w:p w14:paraId="05170CA4" w14:textId="29BF0BA2" w:rsidR="00B32F5A" w:rsidRPr="00B32F5A" w:rsidRDefault="00B32F5A" w:rsidP="006D5468">
            <w:pPr>
              <w:jc w:val="center"/>
              <w:rPr>
                <w:sz w:val="20"/>
                <w:szCs w:val="20"/>
              </w:rPr>
            </w:pPr>
            <w:r>
              <w:rPr>
                <w:sz w:val="20"/>
                <w:szCs w:val="20"/>
              </w:rPr>
              <w:t>3</w:t>
            </w:r>
          </w:p>
        </w:tc>
        <w:tc>
          <w:tcPr>
            <w:tcW w:w="5920" w:type="dxa"/>
          </w:tcPr>
          <w:p w14:paraId="604C9797" w14:textId="0709FD36" w:rsidR="00B32F5A" w:rsidRPr="00B32F5A" w:rsidRDefault="00B32F5A" w:rsidP="00B32F5A">
            <w:pPr>
              <w:rPr>
                <w:sz w:val="20"/>
                <w:szCs w:val="20"/>
              </w:rPr>
            </w:pPr>
            <w:r w:rsidRPr="00B32F5A">
              <w:rPr>
                <w:bCs/>
                <w:sz w:val="20"/>
                <w:szCs w:val="20"/>
              </w:rPr>
              <w:t>Кроме того, по этой позиции, касательно размера электродов, ч</w:t>
            </w:r>
            <w:r>
              <w:rPr>
                <w:bCs/>
                <w:sz w:val="20"/>
                <w:szCs w:val="20"/>
              </w:rPr>
              <w:t>ем хуже размером 50 мм х 50 мм</w:t>
            </w:r>
            <w:proofErr w:type="gramStart"/>
            <w:r>
              <w:rPr>
                <w:bCs/>
                <w:sz w:val="20"/>
                <w:szCs w:val="20"/>
              </w:rPr>
              <w:t>.</w:t>
            </w:r>
            <w:r w:rsidRPr="00B32F5A">
              <w:rPr>
                <w:bCs/>
                <w:sz w:val="20"/>
                <w:szCs w:val="20"/>
              </w:rPr>
              <w:t xml:space="preserve">? </w:t>
            </w:r>
            <w:proofErr w:type="gramEnd"/>
            <w:r w:rsidRPr="00B32F5A">
              <w:rPr>
                <w:bCs/>
                <w:sz w:val="20"/>
                <w:szCs w:val="20"/>
              </w:rPr>
              <w:t>Можно ли дать допуски и указать: длина не менее 50 мм и не более 53,5 мм», ширина не более 50 мм».</w:t>
            </w:r>
          </w:p>
        </w:tc>
        <w:tc>
          <w:tcPr>
            <w:tcW w:w="4253" w:type="dxa"/>
          </w:tcPr>
          <w:p w14:paraId="7560558B" w14:textId="6DAA372E" w:rsidR="00B32F5A" w:rsidRPr="00B32F5A" w:rsidRDefault="00F7251E" w:rsidP="00B83B78">
            <w:pPr>
              <w:rPr>
                <w:bCs/>
                <w:sz w:val="20"/>
                <w:szCs w:val="20"/>
              </w:rPr>
            </w:pPr>
            <w:r>
              <w:rPr>
                <w:bCs/>
                <w:sz w:val="20"/>
                <w:szCs w:val="20"/>
              </w:rPr>
              <w:t xml:space="preserve">Указанный Заявителем размер входит в диапазон размеров, </w:t>
            </w:r>
            <w:r w:rsidR="00B83B78">
              <w:rPr>
                <w:bCs/>
                <w:sz w:val="20"/>
                <w:szCs w:val="20"/>
              </w:rPr>
              <w:t xml:space="preserve">установленных </w:t>
            </w:r>
            <w:r>
              <w:rPr>
                <w:bCs/>
                <w:sz w:val="20"/>
                <w:szCs w:val="20"/>
              </w:rPr>
              <w:t xml:space="preserve">Заказчиком </w:t>
            </w:r>
            <w:r w:rsidR="00B83B78">
              <w:rPr>
                <w:bCs/>
                <w:sz w:val="20"/>
                <w:szCs w:val="20"/>
              </w:rPr>
              <w:t>в</w:t>
            </w:r>
            <w:r>
              <w:rPr>
                <w:bCs/>
                <w:sz w:val="20"/>
                <w:szCs w:val="20"/>
              </w:rPr>
              <w:t xml:space="preserve"> Техническом задании.</w:t>
            </w:r>
          </w:p>
        </w:tc>
      </w:tr>
      <w:tr w:rsidR="00F7251E" w:rsidRPr="00B32F5A" w14:paraId="173BD8EC" w14:textId="77777777" w:rsidTr="00A66F23">
        <w:tc>
          <w:tcPr>
            <w:tcW w:w="567" w:type="dxa"/>
          </w:tcPr>
          <w:p w14:paraId="06BFBACC" w14:textId="77777777" w:rsidR="00F7251E" w:rsidRDefault="00F7251E" w:rsidP="006D5468">
            <w:pPr>
              <w:jc w:val="center"/>
              <w:rPr>
                <w:sz w:val="20"/>
                <w:szCs w:val="20"/>
              </w:rPr>
            </w:pPr>
          </w:p>
        </w:tc>
        <w:tc>
          <w:tcPr>
            <w:tcW w:w="5920" w:type="dxa"/>
          </w:tcPr>
          <w:p w14:paraId="046DE30E" w14:textId="77777777" w:rsidR="00F7251E" w:rsidRPr="00B32F5A" w:rsidRDefault="00F7251E" w:rsidP="00B32F5A">
            <w:pPr>
              <w:rPr>
                <w:bCs/>
                <w:sz w:val="20"/>
                <w:szCs w:val="20"/>
              </w:rPr>
            </w:pPr>
          </w:p>
        </w:tc>
        <w:tc>
          <w:tcPr>
            <w:tcW w:w="4253" w:type="dxa"/>
          </w:tcPr>
          <w:p w14:paraId="06AC3362" w14:textId="35715B00" w:rsidR="00F7251E" w:rsidRDefault="00B83B78" w:rsidP="00F7251E">
            <w:pPr>
              <w:rPr>
                <w:bCs/>
                <w:sz w:val="20"/>
                <w:szCs w:val="20"/>
              </w:rPr>
            </w:pPr>
            <w:r>
              <w:rPr>
                <w:bCs/>
                <w:sz w:val="20"/>
                <w:szCs w:val="20"/>
              </w:rPr>
              <w:t>Кроме того, просим принять к сведению, что задачей Участников является удовлетворение требований Заказчика к поставляемым товарам, а не понуждение Заказчика формировать свои потребности под возможности Участника.</w:t>
            </w:r>
          </w:p>
        </w:tc>
      </w:tr>
    </w:tbl>
    <w:p w14:paraId="48159601" w14:textId="05447299" w:rsidR="001556CC" w:rsidRPr="00B32F5A" w:rsidRDefault="001556CC" w:rsidP="001556CC">
      <w:pPr>
        <w:jc w:val="both"/>
        <w:rPr>
          <w:sz w:val="20"/>
          <w:szCs w:val="20"/>
        </w:rPr>
      </w:pPr>
    </w:p>
    <w:p w14:paraId="7F2880D2" w14:textId="77777777" w:rsidR="001556CC" w:rsidRPr="00B32F5A" w:rsidRDefault="001556CC" w:rsidP="001556CC">
      <w:pPr>
        <w:jc w:val="both"/>
        <w:rPr>
          <w:sz w:val="20"/>
          <w:szCs w:val="20"/>
        </w:rPr>
      </w:pPr>
    </w:p>
    <w:p w14:paraId="4FE2FE09" w14:textId="57AC2469" w:rsidR="001556CC" w:rsidRPr="00B32F5A" w:rsidRDefault="00B32F5A" w:rsidP="001556CC">
      <w:pPr>
        <w:jc w:val="both"/>
        <w:rPr>
          <w:b/>
          <w:sz w:val="20"/>
          <w:szCs w:val="20"/>
        </w:rPr>
      </w:pPr>
      <w:r w:rsidRPr="00B32F5A">
        <w:rPr>
          <w:b/>
          <w:sz w:val="20"/>
          <w:szCs w:val="20"/>
        </w:rPr>
        <w:t>Г</w:t>
      </w:r>
      <w:r w:rsidR="00794C52" w:rsidRPr="00B32F5A">
        <w:rPr>
          <w:b/>
          <w:sz w:val="20"/>
          <w:szCs w:val="20"/>
        </w:rPr>
        <w:t>лавн</w:t>
      </w:r>
      <w:r w:rsidRPr="00B32F5A">
        <w:rPr>
          <w:b/>
          <w:sz w:val="20"/>
          <w:szCs w:val="20"/>
        </w:rPr>
        <w:t>ый</w:t>
      </w:r>
      <w:r w:rsidR="00794C52" w:rsidRPr="00B32F5A">
        <w:rPr>
          <w:b/>
          <w:sz w:val="20"/>
          <w:szCs w:val="20"/>
        </w:rPr>
        <w:t xml:space="preserve"> врач</w:t>
      </w:r>
    </w:p>
    <w:p w14:paraId="523881F3" w14:textId="76F16BD1" w:rsidR="00794C52" w:rsidRPr="00B32F5A" w:rsidRDefault="001556CC" w:rsidP="001556CC">
      <w:pPr>
        <w:jc w:val="both"/>
        <w:rPr>
          <w:b/>
          <w:sz w:val="20"/>
          <w:szCs w:val="20"/>
        </w:rPr>
      </w:pPr>
      <w:r w:rsidRPr="00B32F5A">
        <w:rPr>
          <w:b/>
          <w:sz w:val="20"/>
          <w:szCs w:val="20"/>
        </w:rPr>
        <w:t>ОГАУЗ «ИГКБ № 8»</w:t>
      </w:r>
      <w:r w:rsidR="00794C52" w:rsidRPr="00B32F5A">
        <w:rPr>
          <w:b/>
          <w:sz w:val="20"/>
          <w:szCs w:val="20"/>
        </w:rPr>
        <w:t xml:space="preserve"> </w:t>
      </w:r>
      <w:r w:rsidR="00794C52" w:rsidRPr="00B32F5A">
        <w:rPr>
          <w:b/>
          <w:sz w:val="20"/>
          <w:szCs w:val="20"/>
        </w:rPr>
        <w:tab/>
        <w:t xml:space="preserve">                                  </w:t>
      </w:r>
      <w:r w:rsidR="00794C52" w:rsidRPr="00B32F5A">
        <w:rPr>
          <w:b/>
          <w:sz w:val="20"/>
          <w:szCs w:val="20"/>
        </w:rPr>
        <w:tab/>
      </w:r>
      <w:r w:rsidR="00EE09A8" w:rsidRPr="00B32F5A">
        <w:rPr>
          <w:b/>
          <w:sz w:val="20"/>
          <w:szCs w:val="20"/>
        </w:rPr>
        <w:t xml:space="preserve">                                  </w:t>
      </w:r>
      <w:r w:rsidRPr="00B32F5A">
        <w:rPr>
          <w:b/>
          <w:sz w:val="20"/>
          <w:szCs w:val="20"/>
        </w:rPr>
        <w:t>___</w:t>
      </w:r>
      <w:r w:rsidR="00B32F5A" w:rsidRPr="00B32F5A">
        <w:rPr>
          <w:b/>
          <w:sz w:val="20"/>
          <w:szCs w:val="20"/>
        </w:rPr>
        <w:t>___</w:t>
      </w:r>
      <w:r w:rsidRPr="00B32F5A">
        <w:rPr>
          <w:b/>
          <w:sz w:val="20"/>
          <w:szCs w:val="20"/>
        </w:rPr>
        <w:t>______/</w:t>
      </w:r>
      <w:r w:rsidR="00B32F5A" w:rsidRPr="00B32F5A">
        <w:rPr>
          <w:b/>
          <w:sz w:val="20"/>
          <w:szCs w:val="20"/>
        </w:rPr>
        <w:t xml:space="preserve">Ж.В. </w:t>
      </w:r>
      <w:proofErr w:type="spellStart"/>
      <w:r w:rsidR="00B32F5A" w:rsidRPr="00B32F5A">
        <w:rPr>
          <w:b/>
          <w:sz w:val="20"/>
          <w:szCs w:val="20"/>
        </w:rPr>
        <w:t>Есева</w:t>
      </w:r>
      <w:proofErr w:type="spellEnd"/>
      <w:r w:rsidR="00794C52" w:rsidRPr="00B32F5A">
        <w:rPr>
          <w:b/>
          <w:sz w:val="20"/>
          <w:szCs w:val="20"/>
        </w:rPr>
        <w:t xml:space="preserve"> </w:t>
      </w:r>
    </w:p>
    <w:p w14:paraId="5CDE2995" w14:textId="77777777" w:rsidR="002F325C" w:rsidRPr="00B32F5A" w:rsidRDefault="002F325C" w:rsidP="00794C52">
      <w:pPr>
        <w:jc w:val="both"/>
        <w:rPr>
          <w:sz w:val="20"/>
          <w:szCs w:val="20"/>
        </w:rPr>
      </w:pPr>
    </w:p>
    <w:p w14:paraId="51EE1EF5" w14:textId="22A969B1" w:rsidR="002F325C" w:rsidRPr="00B83B78" w:rsidRDefault="001556CC" w:rsidP="00794C52">
      <w:pPr>
        <w:jc w:val="both"/>
        <w:rPr>
          <w:sz w:val="16"/>
          <w:szCs w:val="16"/>
        </w:rPr>
      </w:pPr>
      <w:r w:rsidRPr="00B83B78">
        <w:rPr>
          <w:sz w:val="16"/>
          <w:szCs w:val="16"/>
        </w:rPr>
        <w:t xml:space="preserve">Исп.: </w:t>
      </w:r>
      <w:proofErr w:type="spellStart"/>
      <w:r w:rsidR="006A34F8" w:rsidRPr="00B83B78">
        <w:rPr>
          <w:sz w:val="16"/>
          <w:szCs w:val="16"/>
        </w:rPr>
        <w:t>Земцов</w:t>
      </w:r>
      <w:proofErr w:type="spellEnd"/>
      <w:r w:rsidR="006A34F8" w:rsidRPr="00B83B78">
        <w:rPr>
          <w:sz w:val="16"/>
          <w:szCs w:val="16"/>
        </w:rPr>
        <w:t xml:space="preserve"> А.В.</w:t>
      </w:r>
      <w:r w:rsidRPr="00B83B78">
        <w:rPr>
          <w:sz w:val="16"/>
          <w:szCs w:val="16"/>
        </w:rPr>
        <w:t xml:space="preserve">, юрисконсульт, </w:t>
      </w:r>
      <w:r w:rsidR="00533944" w:rsidRPr="00B83B78">
        <w:rPr>
          <w:sz w:val="16"/>
          <w:szCs w:val="16"/>
        </w:rPr>
        <w:t>8 950 080 1030</w:t>
      </w:r>
    </w:p>
    <w:p w14:paraId="37267113" w14:textId="77777777" w:rsidR="00D837CA" w:rsidRPr="00B32F5A" w:rsidRDefault="00D837CA" w:rsidP="00794C52">
      <w:pPr>
        <w:jc w:val="both"/>
        <w:rPr>
          <w:sz w:val="20"/>
          <w:szCs w:val="20"/>
        </w:rPr>
      </w:pPr>
    </w:p>
    <w:p w14:paraId="58CCB819" w14:textId="77777777" w:rsidR="009E72B7" w:rsidRPr="00B32F5A" w:rsidRDefault="009E72B7" w:rsidP="00794C52">
      <w:pPr>
        <w:jc w:val="center"/>
        <w:outlineLvl w:val="0"/>
        <w:rPr>
          <w:sz w:val="20"/>
          <w:szCs w:val="20"/>
        </w:rPr>
      </w:pPr>
      <w:bookmarkStart w:id="0" w:name="_GoBack"/>
      <w:bookmarkEnd w:id="0"/>
    </w:p>
    <w:sectPr w:rsidR="009E72B7" w:rsidRPr="00B32F5A" w:rsidSect="00794C52">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94D"/>
    <w:multiLevelType w:val="hybridMultilevel"/>
    <w:tmpl w:val="EC868622"/>
    <w:lvl w:ilvl="0" w:tplc="6E120F72">
      <w:start w:val="1"/>
      <w:numFmt w:val="decimal"/>
      <w:lvlText w:val="%1."/>
      <w:lvlJc w:val="left"/>
      <w:pPr>
        <w:ind w:left="459" w:hanging="360"/>
      </w:pPr>
      <w:rPr>
        <w:rFonts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
    <w:nsid w:val="017A66C4"/>
    <w:multiLevelType w:val="hybridMultilevel"/>
    <w:tmpl w:val="AD700C66"/>
    <w:lvl w:ilvl="0" w:tplc="DD0CC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7763282"/>
    <w:multiLevelType w:val="hybridMultilevel"/>
    <w:tmpl w:val="D2826F2E"/>
    <w:lvl w:ilvl="0" w:tplc="20663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0A05155"/>
    <w:multiLevelType w:val="hybridMultilevel"/>
    <w:tmpl w:val="95FE9CC6"/>
    <w:lvl w:ilvl="0" w:tplc="03E490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98"/>
    <w:rsid w:val="00012F0C"/>
    <w:rsid w:val="000661F1"/>
    <w:rsid w:val="00102531"/>
    <w:rsid w:val="00106290"/>
    <w:rsid w:val="001556CC"/>
    <w:rsid w:val="00176F86"/>
    <w:rsid w:val="001F178A"/>
    <w:rsid w:val="001F4339"/>
    <w:rsid w:val="001F4FC1"/>
    <w:rsid w:val="00206674"/>
    <w:rsid w:val="00216DA1"/>
    <w:rsid w:val="002C31D0"/>
    <w:rsid w:val="002F325C"/>
    <w:rsid w:val="00316D23"/>
    <w:rsid w:val="0035164C"/>
    <w:rsid w:val="003917C2"/>
    <w:rsid w:val="003A1AA6"/>
    <w:rsid w:val="004135CC"/>
    <w:rsid w:val="00420FA3"/>
    <w:rsid w:val="00471EAE"/>
    <w:rsid w:val="0049172E"/>
    <w:rsid w:val="00491B3D"/>
    <w:rsid w:val="004B5B54"/>
    <w:rsid w:val="004C7085"/>
    <w:rsid w:val="004F7B41"/>
    <w:rsid w:val="0053188B"/>
    <w:rsid w:val="00533944"/>
    <w:rsid w:val="005972D6"/>
    <w:rsid w:val="005B4A39"/>
    <w:rsid w:val="005D5FCF"/>
    <w:rsid w:val="006034B9"/>
    <w:rsid w:val="00612625"/>
    <w:rsid w:val="00622947"/>
    <w:rsid w:val="00671AB8"/>
    <w:rsid w:val="0067718B"/>
    <w:rsid w:val="006A0699"/>
    <w:rsid w:val="006A34F8"/>
    <w:rsid w:val="006C60DE"/>
    <w:rsid w:val="006D44E9"/>
    <w:rsid w:val="006D5468"/>
    <w:rsid w:val="00703174"/>
    <w:rsid w:val="007263B3"/>
    <w:rsid w:val="00727113"/>
    <w:rsid w:val="007516F2"/>
    <w:rsid w:val="00794C52"/>
    <w:rsid w:val="00796F93"/>
    <w:rsid w:val="007F4AB4"/>
    <w:rsid w:val="00822A45"/>
    <w:rsid w:val="00831DBF"/>
    <w:rsid w:val="008473DE"/>
    <w:rsid w:val="008A274B"/>
    <w:rsid w:val="008D6AFA"/>
    <w:rsid w:val="009340EF"/>
    <w:rsid w:val="00974122"/>
    <w:rsid w:val="009D1675"/>
    <w:rsid w:val="009D635D"/>
    <w:rsid w:val="009E72B7"/>
    <w:rsid w:val="00A40B88"/>
    <w:rsid w:val="00A535B8"/>
    <w:rsid w:val="00A66F23"/>
    <w:rsid w:val="00AB16A9"/>
    <w:rsid w:val="00AC7509"/>
    <w:rsid w:val="00AE0C15"/>
    <w:rsid w:val="00B32F5A"/>
    <w:rsid w:val="00B76D17"/>
    <w:rsid w:val="00B83B78"/>
    <w:rsid w:val="00C07A51"/>
    <w:rsid w:val="00C1213E"/>
    <w:rsid w:val="00C13798"/>
    <w:rsid w:val="00C327BE"/>
    <w:rsid w:val="00C41E20"/>
    <w:rsid w:val="00C742AB"/>
    <w:rsid w:val="00CA5E58"/>
    <w:rsid w:val="00D456E6"/>
    <w:rsid w:val="00D516C9"/>
    <w:rsid w:val="00D53B0D"/>
    <w:rsid w:val="00D837CA"/>
    <w:rsid w:val="00D912EC"/>
    <w:rsid w:val="00DA50AA"/>
    <w:rsid w:val="00E26554"/>
    <w:rsid w:val="00E53F58"/>
    <w:rsid w:val="00E5791F"/>
    <w:rsid w:val="00EE09A8"/>
    <w:rsid w:val="00F55429"/>
    <w:rsid w:val="00F7251E"/>
    <w:rsid w:val="00F91459"/>
    <w:rsid w:val="00F94A27"/>
    <w:rsid w:val="00FA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798"/>
    <w:rPr>
      <w:rFonts w:ascii="Tahoma" w:hAnsi="Tahoma" w:cs="Tahoma"/>
      <w:sz w:val="16"/>
      <w:szCs w:val="16"/>
    </w:rPr>
  </w:style>
  <w:style w:type="character" w:customStyle="1" w:styleId="a4">
    <w:name w:val="Текст выноски Знак"/>
    <w:basedOn w:val="a0"/>
    <w:link w:val="a3"/>
    <w:uiPriority w:val="99"/>
    <w:semiHidden/>
    <w:rsid w:val="00C13798"/>
    <w:rPr>
      <w:rFonts w:ascii="Tahoma" w:eastAsia="Times New Roman" w:hAnsi="Tahoma" w:cs="Tahoma"/>
      <w:sz w:val="16"/>
      <w:szCs w:val="16"/>
      <w:lang w:eastAsia="ru-RU"/>
    </w:rPr>
  </w:style>
  <w:style w:type="character" w:styleId="a5">
    <w:name w:val="Hyperlink"/>
    <w:basedOn w:val="a0"/>
    <w:uiPriority w:val="99"/>
    <w:unhideWhenUsed/>
    <w:rsid w:val="00C13798"/>
    <w:rPr>
      <w:color w:val="0000FF" w:themeColor="hyperlink"/>
      <w:u w:val="single"/>
    </w:rPr>
  </w:style>
  <w:style w:type="paragraph" w:styleId="a6">
    <w:name w:val="Document Map"/>
    <w:basedOn w:val="a"/>
    <w:link w:val="a7"/>
    <w:uiPriority w:val="99"/>
    <w:semiHidden/>
    <w:unhideWhenUsed/>
    <w:rsid w:val="004B5B54"/>
    <w:rPr>
      <w:rFonts w:ascii="Tahoma" w:hAnsi="Tahoma" w:cs="Tahoma"/>
      <w:sz w:val="16"/>
      <w:szCs w:val="16"/>
    </w:rPr>
  </w:style>
  <w:style w:type="character" w:customStyle="1" w:styleId="a7">
    <w:name w:val="Схема документа Знак"/>
    <w:basedOn w:val="a0"/>
    <w:link w:val="a6"/>
    <w:uiPriority w:val="99"/>
    <w:semiHidden/>
    <w:rsid w:val="004B5B54"/>
    <w:rPr>
      <w:rFonts w:ascii="Tahoma" w:eastAsia="Times New Roman" w:hAnsi="Tahoma" w:cs="Tahoma"/>
      <w:sz w:val="16"/>
      <w:szCs w:val="16"/>
      <w:lang w:eastAsia="ru-RU"/>
    </w:rPr>
  </w:style>
  <w:style w:type="paragraph" w:styleId="a8">
    <w:name w:val="List Paragraph"/>
    <w:basedOn w:val="a"/>
    <w:uiPriority w:val="34"/>
    <w:qFormat/>
    <w:rsid w:val="00794C5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794C52"/>
    <w:pPr>
      <w:suppressAutoHyphens/>
      <w:autoSpaceDN w:val="0"/>
      <w:spacing w:after="0" w:line="240" w:lineRule="auto"/>
      <w:textAlignment w:val="baseline"/>
    </w:pPr>
    <w:rPr>
      <w:rFonts w:ascii="Times New Roman" w:eastAsia="Times New Roman" w:hAnsi="Times New Roman" w:cs="Times New Roman"/>
      <w:kern w:val="3"/>
      <w:sz w:val="20"/>
      <w:szCs w:val="20"/>
      <w:lang w:eastAsia="ru-RU" w:bidi="hi-IN"/>
    </w:rPr>
  </w:style>
  <w:style w:type="paragraph" w:styleId="a9">
    <w:name w:val="Body Text"/>
    <w:basedOn w:val="a"/>
    <w:link w:val="aa"/>
    <w:unhideWhenUsed/>
    <w:rsid w:val="003917C2"/>
    <w:pPr>
      <w:jc w:val="both"/>
    </w:pPr>
    <w:rPr>
      <w:rFonts w:ascii="Courier New" w:hAnsi="Courier New"/>
      <w:sz w:val="20"/>
      <w:szCs w:val="20"/>
    </w:rPr>
  </w:style>
  <w:style w:type="character" w:customStyle="1" w:styleId="aa">
    <w:name w:val="Основной текст Знак"/>
    <w:basedOn w:val="a0"/>
    <w:link w:val="a9"/>
    <w:rsid w:val="003917C2"/>
    <w:rPr>
      <w:rFonts w:ascii="Courier New" w:eastAsia="Times New Roman" w:hAnsi="Courier New" w:cs="Times New Roman"/>
      <w:sz w:val="20"/>
      <w:szCs w:val="20"/>
      <w:lang w:eastAsia="ru-RU"/>
    </w:rPr>
  </w:style>
  <w:style w:type="paragraph" w:customStyle="1" w:styleId="ab">
    <w:name w:val="Базовый"/>
    <w:rsid w:val="00CA5E58"/>
    <w:pPr>
      <w:suppressAutoHyphens/>
    </w:pPr>
    <w:rPr>
      <w:rFonts w:ascii="Calibri" w:eastAsia="Lucida Sans Unicode" w:hAnsi="Calibri" w:cs="Calibri"/>
      <w:color w:val="00000A"/>
    </w:rPr>
  </w:style>
  <w:style w:type="paragraph" w:styleId="ac">
    <w:name w:val="Plain Text"/>
    <w:basedOn w:val="a"/>
    <w:link w:val="ad"/>
    <w:semiHidden/>
    <w:unhideWhenUsed/>
    <w:rsid w:val="00EE09A8"/>
    <w:rPr>
      <w:rFonts w:ascii="Courier New" w:hAnsi="Courier New"/>
      <w:sz w:val="20"/>
      <w:szCs w:val="20"/>
    </w:rPr>
  </w:style>
  <w:style w:type="character" w:customStyle="1" w:styleId="ad">
    <w:name w:val="Текст Знак"/>
    <w:basedOn w:val="a0"/>
    <w:link w:val="ac"/>
    <w:semiHidden/>
    <w:rsid w:val="00EE09A8"/>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798"/>
    <w:rPr>
      <w:rFonts w:ascii="Tahoma" w:hAnsi="Tahoma" w:cs="Tahoma"/>
      <w:sz w:val="16"/>
      <w:szCs w:val="16"/>
    </w:rPr>
  </w:style>
  <w:style w:type="character" w:customStyle="1" w:styleId="a4">
    <w:name w:val="Текст выноски Знак"/>
    <w:basedOn w:val="a0"/>
    <w:link w:val="a3"/>
    <w:uiPriority w:val="99"/>
    <w:semiHidden/>
    <w:rsid w:val="00C13798"/>
    <w:rPr>
      <w:rFonts w:ascii="Tahoma" w:eastAsia="Times New Roman" w:hAnsi="Tahoma" w:cs="Tahoma"/>
      <w:sz w:val="16"/>
      <w:szCs w:val="16"/>
      <w:lang w:eastAsia="ru-RU"/>
    </w:rPr>
  </w:style>
  <w:style w:type="character" w:styleId="a5">
    <w:name w:val="Hyperlink"/>
    <w:basedOn w:val="a0"/>
    <w:uiPriority w:val="99"/>
    <w:unhideWhenUsed/>
    <w:rsid w:val="00C13798"/>
    <w:rPr>
      <w:color w:val="0000FF" w:themeColor="hyperlink"/>
      <w:u w:val="single"/>
    </w:rPr>
  </w:style>
  <w:style w:type="paragraph" w:styleId="a6">
    <w:name w:val="Document Map"/>
    <w:basedOn w:val="a"/>
    <w:link w:val="a7"/>
    <w:uiPriority w:val="99"/>
    <w:semiHidden/>
    <w:unhideWhenUsed/>
    <w:rsid w:val="004B5B54"/>
    <w:rPr>
      <w:rFonts w:ascii="Tahoma" w:hAnsi="Tahoma" w:cs="Tahoma"/>
      <w:sz w:val="16"/>
      <w:szCs w:val="16"/>
    </w:rPr>
  </w:style>
  <w:style w:type="character" w:customStyle="1" w:styleId="a7">
    <w:name w:val="Схема документа Знак"/>
    <w:basedOn w:val="a0"/>
    <w:link w:val="a6"/>
    <w:uiPriority w:val="99"/>
    <w:semiHidden/>
    <w:rsid w:val="004B5B54"/>
    <w:rPr>
      <w:rFonts w:ascii="Tahoma" w:eastAsia="Times New Roman" w:hAnsi="Tahoma" w:cs="Tahoma"/>
      <w:sz w:val="16"/>
      <w:szCs w:val="16"/>
      <w:lang w:eastAsia="ru-RU"/>
    </w:rPr>
  </w:style>
  <w:style w:type="paragraph" w:styleId="a8">
    <w:name w:val="List Paragraph"/>
    <w:basedOn w:val="a"/>
    <w:uiPriority w:val="34"/>
    <w:qFormat/>
    <w:rsid w:val="00794C5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794C52"/>
    <w:pPr>
      <w:suppressAutoHyphens/>
      <w:autoSpaceDN w:val="0"/>
      <w:spacing w:after="0" w:line="240" w:lineRule="auto"/>
      <w:textAlignment w:val="baseline"/>
    </w:pPr>
    <w:rPr>
      <w:rFonts w:ascii="Times New Roman" w:eastAsia="Times New Roman" w:hAnsi="Times New Roman" w:cs="Times New Roman"/>
      <w:kern w:val="3"/>
      <w:sz w:val="20"/>
      <w:szCs w:val="20"/>
      <w:lang w:eastAsia="ru-RU" w:bidi="hi-IN"/>
    </w:rPr>
  </w:style>
  <w:style w:type="paragraph" w:styleId="a9">
    <w:name w:val="Body Text"/>
    <w:basedOn w:val="a"/>
    <w:link w:val="aa"/>
    <w:unhideWhenUsed/>
    <w:rsid w:val="003917C2"/>
    <w:pPr>
      <w:jc w:val="both"/>
    </w:pPr>
    <w:rPr>
      <w:rFonts w:ascii="Courier New" w:hAnsi="Courier New"/>
      <w:sz w:val="20"/>
      <w:szCs w:val="20"/>
    </w:rPr>
  </w:style>
  <w:style w:type="character" w:customStyle="1" w:styleId="aa">
    <w:name w:val="Основной текст Знак"/>
    <w:basedOn w:val="a0"/>
    <w:link w:val="a9"/>
    <w:rsid w:val="003917C2"/>
    <w:rPr>
      <w:rFonts w:ascii="Courier New" w:eastAsia="Times New Roman" w:hAnsi="Courier New" w:cs="Times New Roman"/>
      <w:sz w:val="20"/>
      <w:szCs w:val="20"/>
      <w:lang w:eastAsia="ru-RU"/>
    </w:rPr>
  </w:style>
  <w:style w:type="paragraph" w:customStyle="1" w:styleId="ab">
    <w:name w:val="Базовый"/>
    <w:rsid w:val="00CA5E58"/>
    <w:pPr>
      <w:suppressAutoHyphens/>
    </w:pPr>
    <w:rPr>
      <w:rFonts w:ascii="Calibri" w:eastAsia="Lucida Sans Unicode" w:hAnsi="Calibri" w:cs="Calibri"/>
      <w:color w:val="00000A"/>
    </w:rPr>
  </w:style>
  <w:style w:type="paragraph" w:styleId="ac">
    <w:name w:val="Plain Text"/>
    <w:basedOn w:val="a"/>
    <w:link w:val="ad"/>
    <w:semiHidden/>
    <w:unhideWhenUsed/>
    <w:rsid w:val="00EE09A8"/>
    <w:rPr>
      <w:rFonts w:ascii="Courier New" w:hAnsi="Courier New"/>
      <w:sz w:val="20"/>
      <w:szCs w:val="20"/>
    </w:rPr>
  </w:style>
  <w:style w:type="character" w:customStyle="1" w:styleId="ad">
    <w:name w:val="Текст Знак"/>
    <w:basedOn w:val="a0"/>
    <w:link w:val="ac"/>
    <w:semiHidden/>
    <w:rsid w:val="00EE09A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3764">
      <w:bodyDiv w:val="1"/>
      <w:marLeft w:val="0"/>
      <w:marRight w:val="0"/>
      <w:marTop w:val="0"/>
      <w:marBottom w:val="0"/>
      <w:divBdr>
        <w:top w:val="none" w:sz="0" w:space="0" w:color="auto"/>
        <w:left w:val="none" w:sz="0" w:space="0" w:color="auto"/>
        <w:bottom w:val="none" w:sz="0" w:space="0" w:color="auto"/>
        <w:right w:val="none" w:sz="0" w:space="0" w:color="auto"/>
      </w:divBdr>
    </w:div>
    <w:div w:id="540940129">
      <w:bodyDiv w:val="1"/>
      <w:marLeft w:val="0"/>
      <w:marRight w:val="0"/>
      <w:marTop w:val="0"/>
      <w:marBottom w:val="0"/>
      <w:divBdr>
        <w:top w:val="none" w:sz="0" w:space="0" w:color="auto"/>
        <w:left w:val="none" w:sz="0" w:space="0" w:color="auto"/>
        <w:bottom w:val="none" w:sz="0" w:space="0" w:color="auto"/>
        <w:right w:val="none" w:sz="0" w:space="0" w:color="auto"/>
      </w:divBdr>
    </w:div>
    <w:div w:id="804811545">
      <w:bodyDiv w:val="1"/>
      <w:marLeft w:val="0"/>
      <w:marRight w:val="0"/>
      <w:marTop w:val="0"/>
      <w:marBottom w:val="0"/>
      <w:divBdr>
        <w:top w:val="none" w:sz="0" w:space="0" w:color="auto"/>
        <w:left w:val="none" w:sz="0" w:space="0" w:color="auto"/>
        <w:bottom w:val="none" w:sz="0" w:space="0" w:color="auto"/>
        <w:right w:val="none" w:sz="0" w:space="0" w:color="auto"/>
      </w:divBdr>
    </w:div>
    <w:div w:id="21107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61028-7BFE-4AE6-8372-53206A97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Бартель</dc:creator>
  <cp:lastModifiedBy>Александр Земцов</cp:lastModifiedBy>
  <cp:revision>2</cp:revision>
  <cp:lastPrinted>2024-03-05T07:29:00Z</cp:lastPrinted>
  <dcterms:created xsi:type="dcterms:W3CDTF">2024-03-05T07:30:00Z</dcterms:created>
  <dcterms:modified xsi:type="dcterms:W3CDTF">2024-03-05T07:30:00Z</dcterms:modified>
</cp:coreProperties>
</file>