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30" w:rsidRDefault="00662B30" w:rsidP="00662B30">
      <w:pPr>
        <w:spacing w:after="0" w:line="240" w:lineRule="auto"/>
        <w:ind w:left="45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УТВЕРЖДАЮ</w:t>
      </w:r>
    </w:p>
    <w:p w:rsidR="00662B30" w:rsidRDefault="00662B30" w:rsidP="00662B30">
      <w:pPr>
        <w:spacing w:after="0" w:line="240" w:lineRule="auto"/>
        <w:ind w:left="45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Главный врач ОГАУЗ «ИГКБ № 8»</w:t>
      </w:r>
    </w:p>
    <w:p w:rsidR="00662B30" w:rsidRDefault="00662B30" w:rsidP="00662B30">
      <w:pPr>
        <w:spacing w:after="0" w:line="240" w:lineRule="auto"/>
        <w:ind w:left="45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___________________/ Ж.В.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Есева</w:t>
      </w:r>
      <w:proofErr w:type="spellEnd"/>
    </w:p>
    <w:p w:rsidR="00662B30" w:rsidRDefault="00662B30" w:rsidP="00662B30">
      <w:pPr>
        <w:spacing w:after="0" w:line="240" w:lineRule="auto"/>
        <w:ind w:left="45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«____»____________20___ г. </w:t>
      </w:r>
    </w:p>
    <w:p w:rsidR="00662B30" w:rsidRDefault="00662B30" w:rsidP="00662B30">
      <w:pPr>
        <w:spacing w:after="0" w:line="240" w:lineRule="auto"/>
        <w:ind w:left="45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М.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</w:p>
    <w:p w:rsidR="00662B30" w:rsidRDefault="00662B30" w:rsidP="00662B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2B30" w:rsidRDefault="00662B30" w:rsidP="00662B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ЗАЯВКА НА ЗАКУПКУ</w:t>
      </w:r>
    </w:p>
    <w:p w:rsidR="00662B30" w:rsidRDefault="00662B30" w:rsidP="00662B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2B30" w:rsidRDefault="009C4F5A" w:rsidP="00662B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 27.02.2024</w:t>
      </w:r>
      <w:r w:rsidR="00662B30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662B30" w:rsidRDefault="00662B30" w:rsidP="00662B30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957"/>
        <w:gridCol w:w="4941"/>
      </w:tblGrid>
      <w:tr w:rsidR="00662B30" w:rsidTr="00662B3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Информация</w:t>
            </w:r>
          </w:p>
        </w:tc>
      </w:tr>
      <w:tr w:rsidR="00662B30" w:rsidTr="00662B30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Отделение клинической лабораторной диагностики </w:t>
            </w:r>
          </w:p>
        </w:tc>
      </w:tr>
      <w:tr w:rsidR="00662B30" w:rsidTr="00662B3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Ответственный исполнитель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Фамилия, имя, отчество;</w:t>
            </w:r>
          </w:p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Молева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Ирина Викторовна</w:t>
            </w:r>
          </w:p>
        </w:tc>
      </w:tr>
      <w:tr w:rsidR="00662B30" w:rsidTr="00662B30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62B30">
              <w:rPr>
                <w:rFonts w:ascii="Times New Roman" w:eastAsia="MS Gothic" w:hAnsi="MS Gothic" w:hint="eastAsia"/>
                <w:bCs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Средства территориального фонда ОМС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62B30">
              <w:rPr>
                <w:rFonts w:ascii="Times New Roman" w:eastAsia="MS Gothic" w:hAnsi="MS Gothic" w:hint="eastAsia"/>
                <w:bCs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Средства от приносящей доход деятельности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MS Gothic" w:hAnsi="MS Gothic" w:hint="eastAsia"/>
                <w:bCs/>
                <w:sz w:val="20"/>
                <w:szCs w:val="20"/>
                <w:lang w:val="en-US"/>
              </w:rPr>
              <w:t>☐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Субсидии бюджета Иркутской области</w:t>
            </w:r>
          </w:p>
        </w:tc>
      </w:tr>
      <w:tr w:rsidR="00662B30" w:rsidTr="00662B30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объекта закупки товара (работы, услуги)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Наборы реагентов и расходного материала для биохимических анализаторов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Labio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200,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Accent</w:t>
            </w:r>
            <w:r>
              <w:rPr>
                <w:rFonts w:ascii="Times New Roman" w:hAnsi="Times New Roman"/>
                <w:sz w:val="20"/>
                <w:szCs w:val="20"/>
              </w:rPr>
              <w:t>-200.</w:t>
            </w:r>
          </w:p>
        </w:tc>
      </w:tr>
      <w:tr w:rsidR="00662B30" w:rsidTr="00662B30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Расходы, включенные в начальную (максимальную) цену договора (цену лота)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662B30" w:rsidTr="00662B3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До 31.12.2024</w:t>
            </w:r>
          </w:p>
        </w:tc>
      </w:tr>
      <w:tr w:rsidR="00662B30" w:rsidTr="00662B3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Место доставки товара (выполнения работы, оказания услуги) 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9C4F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Ул. Баумана 214А/1</w:t>
            </w:r>
          </w:p>
        </w:tc>
      </w:tr>
      <w:tr w:rsidR="00662B30" w:rsidTr="00662B3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Условия поставки товара (выполнения работы, оказания услуги)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ab/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По заявке в течение 10 календарных дней</w:t>
            </w:r>
          </w:p>
        </w:tc>
      </w:tr>
      <w:tr w:rsidR="00662B30" w:rsidTr="00662B3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Начальная (максимальная) цена договора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</w:pPr>
          </w:p>
        </w:tc>
      </w:tr>
      <w:tr w:rsidR="00662B30" w:rsidTr="00662B3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Поставщик (подрядчик, исполнитель) (при наличии):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Наименование, контактное лицо (Ф.И.О. тел., адрес электронной почты)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30" w:rsidRDefault="00662B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Gothic" w:hAnsi="Times New Roman"/>
                <w:bCs/>
                <w:sz w:val="20"/>
                <w:szCs w:val="20"/>
              </w:rPr>
            </w:pPr>
          </w:p>
        </w:tc>
      </w:tr>
    </w:tbl>
    <w:p w:rsidR="00662B30" w:rsidRDefault="00662B30" w:rsidP="00662B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2B30" w:rsidRDefault="00662B30" w:rsidP="00662B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2B30" w:rsidRDefault="00662B30" w:rsidP="00662B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B30" w:rsidRDefault="00662B30" w:rsidP="00662B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B30" w:rsidRDefault="00662B30" w:rsidP="00662B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B30" w:rsidRDefault="00662B30" w:rsidP="00662B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B30" w:rsidRDefault="00662B30" w:rsidP="00662B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B30" w:rsidRDefault="00662B30" w:rsidP="00662B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B30" w:rsidRDefault="00662B30" w:rsidP="00662B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B30" w:rsidRDefault="00662B30" w:rsidP="00662B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B30" w:rsidRDefault="00662B30" w:rsidP="00662B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B30" w:rsidRDefault="00662B30" w:rsidP="00662B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НАИМЕНОВАНИЕ И ОПИСАНИЕ ОБЪЕКТА ЗАКУПКИ</w:t>
      </w:r>
    </w:p>
    <w:p w:rsidR="00662B30" w:rsidRDefault="00662B30" w:rsidP="00662B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(ТЕХНИЧЕСКОЕ ЗАДАНИЕ)</w:t>
      </w:r>
    </w:p>
    <w:p w:rsidR="00662B30" w:rsidRDefault="00662B30" w:rsidP="00662B30">
      <w:pPr>
        <w:spacing w:after="0" w:line="240" w:lineRule="auto"/>
        <w:ind w:left="450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1"/>
        <w:gridCol w:w="5100"/>
        <w:gridCol w:w="998"/>
        <w:gridCol w:w="845"/>
      </w:tblGrid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/№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товара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Характеристика и товара, функция или величина параметра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Кол-во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 для определения  </w:t>
            </w:r>
          </w:p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реагентов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других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creatinine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в клиническом образце методом спектрофотометрического анализа.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Принцип метода: кинетический с пикриновой кислотой,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депротеинизации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Чувствительность: не более  0,6 мг/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Линейность: не менее 17 мг/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 условия хранения: при температуре 15-25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°С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реагенты сохраняют стабильность в течение всего срока годности, указанного на упаковке. Единица измерения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набор.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не менее: 5х48 мл,1х60 мл.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тестов в наборе не менее 1000. Совместимость с анализаторами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Labio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Accent</w:t>
            </w:r>
            <w:r>
              <w:rPr>
                <w:rFonts w:ascii="Times New Roman" w:hAnsi="Times New Roman"/>
                <w:sz w:val="20"/>
                <w:szCs w:val="20"/>
              </w:rPr>
              <w:t>-200.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662B30" w:rsidTr="00662B30">
        <w:trPr>
          <w:trHeight w:val="29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 для определения  </w:t>
            </w:r>
          </w:p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Мочевины.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реагентов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других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связанных с ними материалов, предназначенный для качественного и /или количественного  определения  мочевины/азота мочевины в крови и/или в других биологических жидкостях  в  клиническом образце методом ферментного спектрофотометрического анализа.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Принцип метода: ферментативный, кинетический,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уреазный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Чувствительность: не более 4,5мг/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Линейность: не менее 250 мг/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Срок и условия хранения:  при температуре 2-8 °C реагенты сохраняют стабильность в течение всего срока годности, указанного на упаковке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казанного на упаковке.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набор.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не менее: 5х96 мл,1х120 мл.</w:t>
            </w:r>
          </w:p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Количество тестов в наборе не менее 1000.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Совместимость с анализаторами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Labio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Accent</w:t>
            </w:r>
            <w:r>
              <w:rPr>
                <w:rFonts w:ascii="Times New Roman" w:hAnsi="Times New Roman"/>
                <w:sz w:val="20"/>
                <w:szCs w:val="20"/>
              </w:rPr>
              <w:t>-200.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 для определения  </w:t>
            </w:r>
          </w:p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Аспартатаминотрансферазы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реагентов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других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общей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аспартатаминотрансферазы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(АСТ)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aspartateaminotransferase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(AST))  в клиническом образце методом ферментного спектрофотометрического анализа.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Принцип метода: кинетический, колориметрический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пиридоксальфосфата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Чувствительность: не более 9,0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Линейность: не менее 770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/л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Срок и условия хранения: при температуре 2-8 °C реагенты сохраняют стабильность в течение всего срока годности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указанного на упаковке. Единица измерения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набор.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не менее: 5х96 мл,1х120 мл.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тестов в наборе не менее 1000. Совместимость с анализаторами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Labio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Accent</w:t>
            </w:r>
            <w:r>
              <w:rPr>
                <w:rFonts w:ascii="Times New Roman" w:hAnsi="Times New Roman"/>
                <w:sz w:val="20"/>
                <w:szCs w:val="20"/>
              </w:rPr>
              <w:t>-200.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 для определения  </w:t>
            </w:r>
          </w:p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Аланинаминотрансферазы</w:t>
            </w:r>
            <w:proofErr w:type="spellEnd"/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реагентов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других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общей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аланинаминотрансферазы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(АЛТ)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alanineaminotransferase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(ALT))в клиническом образце методом ферментного спектрофотометрического анализа.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Принцип метода: кинетический, колориметрический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пиридоксальфосфата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Чувствительность: не более 7,0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/л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Линейность: не менее 770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/л 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и условия хранения: при температуре 2-8 °C реагенты сохраняют стабильность в течение всего срока годности, указанного на упаковке. 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набор.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не менее: 5х96 мл,1х120 мл.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тестов в наборе не менее 1000. Совместимость с анализаторами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Labio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Accent</w:t>
            </w:r>
            <w:r>
              <w:rPr>
                <w:rFonts w:ascii="Times New Roman" w:hAnsi="Times New Roman"/>
                <w:sz w:val="20"/>
                <w:szCs w:val="20"/>
              </w:rPr>
              <w:t>-200.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 для определения  </w:t>
            </w:r>
          </w:p>
          <w:p w:rsidR="00662B30" w:rsidRDefault="00662B30">
            <w:pPr>
              <w:tabs>
                <w:tab w:val="left" w:pos="174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Альфа-амилазы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реагентов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других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общей альфа-амилазы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totalamylase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в клиническом образце методом ферментного спектрофотометрического анализа.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Принцип метода: кинетический, колориметрический с 2-хлоро-4-нитрофенилl-альфа-мальтотриозидом (CNP-G3)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Чувствительность: не более 2,5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/л.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Линейность: не менее 1500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/л. 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Срок и условия хранения: при температуре 2-8 °C реагент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сохраня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стабильность в течение всего срока годности, указанного на упаковке.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набор.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не менее: 6х30 мл.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Количество тестов в наборе не менее 500.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Совместимость с анализаторами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Labio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Accent</w:t>
            </w:r>
            <w:r>
              <w:rPr>
                <w:rFonts w:ascii="Times New Roman" w:hAnsi="Times New Roman"/>
                <w:sz w:val="20"/>
                <w:szCs w:val="20"/>
              </w:rPr>
              <w:t>-200.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 для определения  </w:t>
            </w:r>
          </w:p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Прямого билирубина.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 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других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коньюгированного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(прямого) билирубина(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conjugated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direct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bilirubin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 в клиническом образце методом спектрофотометрического анализа.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Принцип метода: основан на оксидации в присутствии ванадата в качестве окислителя.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Чувствительность: не более 0,04 мг/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Линейность: не менее 40 мг/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Срок и условия хранения:  при температуре 2-8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°С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реагенты сохраняют стабильность в течение всего срока годности, указанного на упаковке. </w:t>
            </w: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набор.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не менее: 4х54 мл,1х54 мл.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тестов в наборе не менее 500.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Совместимость с анализаторами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Labio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Accent</w:t>
            </w:r>
            <w:r>
              <w:rPr>
                <w:rFonts w:ascii="Times New Roman" w:hAnsi="Times New Roman"/>
                <w:sz w:val="20"/>
                <w:szCs w:val="20"/>
              </w:rPr>
              <w:t>-200.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 для определения  </w:t>
            </w:r>
          </w:p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Общего билирубина.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реагентов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других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общего билирубина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totalbilirubin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в клиническом образце методом спектрофотометрического анализа.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Принцип метода: основан на оксидации в присутствии ванадата в качестве окислителя.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Чувствительность: не более 0,2 мг/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Линейность: не менее 55 мг/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Срок и условия хранения: реагенты при температуре 10-25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°С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сохраняют стабильность в течении всего срока годности, указанного на упаковке. Совместимость с анализатором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Labio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200.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измерения: набор.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не менее: 5х100 мл,1х100 мл.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Количество тестов в наборе не менее 500.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Совместимость с анализаторами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Labio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Accent</w:t>
            </w:r>
            <w:r>
              <w:rPr>
                <w:rFonts w:ascii="Times New Roman" w:hAnsi="Times New Roman"/>
                <w:sz w:val="20"/>
                <w:szCs w:val="20"/>
              </w:rPr>
              <w:t>-200.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Набор для определения общего белка;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биуретовый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метод.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реагентов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других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общего белка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tot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protein</w:t>
            </w:r>
            <w:r>
              <w:rPr>
                <w:rFonts w:ascii="Times New Roman" w:hAnsi="Times New Roman"/>
                <w:sz w:val="20"/>
                <w:szCs w:val="20"/>
              </w:rPr>
              <w:t>) в клиническом образце методом спектрофотометрического анализа.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Монореагент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жидкий, готовый к использованию, метод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биуретовый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 стандарт в наборе; 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Чувствительность: не более 0,15 мг/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Линейность: не менее 19 мг/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Срок и условия хранения: реагенты при температуре 2-8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°С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сохраняют стабильность в течении всего срока годности, указанного на упаковке. </w:t>
            </w:r>
            <w:r>
              <w:rPr>
                <w:rFonts w:ascii="Times New Roman" w:hAnsi="Times New Roman"/>
                <w:sz w:val="20"/>
                <w:szCs w:val="20"/>
              </w:rPr>
              <w:t>Единица измерения: набор.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не менее: 6х60 мл, стандарт 1х2 мл.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Количество тестов в наборе не менее 1000.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Совместимость с анализаторами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Labio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Accent</w:t>
            </w:r>
            <w:r>
              <w:rPr>
                <w:rFonts w:ascii="Times New Roman" w:hAnsi="Times New Roman"/>
                <w:sz w:val="20"/>
                <w:szCs w:val="20"/>
              </w:rPr>
              <w:t>-200.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Набор реагентов для определения глюкозы.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реагентов для определения концентрации глюкозы в крови (цельная кровь, сыворотка, плазма)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моче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глюкозооксидазным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методом.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 набора: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1.Фосфатный буферный раствор, рН 7,0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0,1(фенол, этилендиаминтетрауксусной кислоты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динатриевая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соль,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глюкозооксидаза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пероксидаза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4-аминоантипирин готовый к использованию.</w:t>
            </w:r>
            <w:proofErr w:type="gramEnd"/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2.Калибратор: калибровочный раствор глюкозы, готовый к использованию.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Чувствительность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 более 0,06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/л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Линейность в диапазоне концентраций глюкозы 0,7-30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тклонение не более 5%.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измерения: набор.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не менее: 4х250 мл, калибратор 1х4 мл.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тестов в наборе не менее 1000. Совместимость с анализаторами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Labio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Accent</w:t>
            </w:r>
            <w:r>
              <w:rPr>
                <w:rFonts w:ascii="Times New Roman" w:hAnsi="Times New Roman"/>
                <w:sz w:val="20"/>
                <w:szCs w:val="20"/>
              </w:rPr>
              <w:t>-200.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Депротеинизирующий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раствор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Реагент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депротеинирования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образцов цельной крови при количественном определении концентрации глюкозы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глюкозооксидазным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методом.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Состав: литий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хлорнокислый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натрия азид.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измерения: упаковка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не менее:2 флаконов по 20 мл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Рассчитан на обработку не менее 1000 образцов цельной крови при расходе не менее 0,04 мл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депротеинирующего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раствора на один образец. Совместимость с набором реагентов для определения глюкозы в сыворотке (плазме) крови и моче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глюкозооксидазным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методом (GOD-PAP) методом.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 для определения  </w:t>
            </w:r>
          </w:p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Креатинфосфокиназы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(КФК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Набор реагентов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других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сердечного изофермента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креатинкиназы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(КК-МВ)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crea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tinkinasemyocardialisoenzyme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в клиническом образце методом ферментного спектрофотометрического анализа.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Чувствительность: не более 6,0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/л 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Линейность: не менее 2100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/л 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 условия хранения: при температуре 2-8 °C реагенты сохраняют стабильность в течение всего срока годности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указанного на упаковке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0"/>
                <w:szCs w:val="20"/>
              </w:rPr>
              <w:t>Единица измерения: набор.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не менее: 5х25 мл, 1х25 мл.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тестов в наборе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Совместимость с анализаторами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Labio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Accent</w:t>
            </w:r>
            <w:r>
              <w:rPr>
                <w:rFonts w:ascii="Times New Roman" w:hAnsi="Times New Roman"/>
                <w:sz w:val="20"/>
                <w:szCs w:val="20"/>
              </w:rPr>
              <w:t>-200.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 для определения  </w:t>
            </w:r>
          </w:p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Холестерина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реагентов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других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общего холестерина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totalcholesterol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в клиническом образце методом ферментного спектрофотометрического анализа.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Принцип метода:  колориметрический,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энзиматический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эстеразой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оксидазой холестерина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Чувствительность: не более 13 мг/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Линейность: не менее 730 мг/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 условия хранения: при температуре 2-8 °C реагенты сохраняют стабильность в течение всего срока годности, указанного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Стабильность на борту анализатора при температуре от 2-10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°С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 менее 8 недель.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измерения: набор.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не менее: 6х120 мл.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тестов в наборе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Совместимость с анализаторами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Labio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Accent</w:t>
            </w:r>
            <w:r>
              <w:rPr>
                <w:rFonts w:ascii="Times New Roman" w:hAnsi="Times New Roman"/>
                <w:sz w:val="20"/>
                <w:szCs w:val="20"/>
              </w:rPr>
              <w:t>-200.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 для определения С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еактивного белка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Набор реагентов и </w:t>
            </w:r>
            <w:proofErr w:type="gramStart"/>
            <w:r>
              <w:rPr>
                <w:rFonts w:ascii="Times New Roman" w:hAnsi="Times New Roman"/>
                <w:color w:val="000000"/>
              </w:rPr>
              <w:t>других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связанных с ними материалов, предназначенных для количественного определения С-реактивного белка (C-</w:t>
            </w:r>
            <w:proofErr w:type="spellStart"/>
            <w:r>
              <w:rPr>
                <w:rFonts w:ascii="Times New Roman" w:hAnsi="Times New Roman"/>
                <w:color w:val="000000"/>
              </w:rPr>
              <w:t>reactive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protein</w:t>
            </w:r>
            <w:proofErr w:type="spellEnd"/>
            <w:r>
              <w:rPr>
                <w:rFonts w:ascii="Times New Roman" w:hAnsi="Times New Roman"/>
                <w:color w:val="000000"/>
              </w:rPr>
              <w:t>, CRP) в клиническом образце методом нефелометрического/турбидиметрического анализа на анализаторах открытого типа. Чувствительность: не более 0,17 мг/дл.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Линейность: не менее 32 мг/дл. Количество выполняемых тестов: ≥ 100  Штука. Срок и условия хранения: при температуре 2-10°C в течение всего срока годности, указанного на упаковке. Стабильность реагентов на борту анализатора при температуре 2-10°C составляет не менее 4 недель.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Единица измерения: упаковка. Фасовка, не менее: 1х25мл; 1х25мл в штрих-кодированных системных флаконах.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Совместимость с анализаторами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Labio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Accent</w:t>
            </w:r>
            <w:r>
              <w:rPr>
                <w:rFonts w:ascii="Times New Roman" w:hAnsi="Times New Roman"/>
                <w:sz w:val="20"/>
                <w:szCs w:val="20"/>
              </w:rPr>
              <w:t>-200.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С-реактивный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белок (СРБ) ИВД, калибратор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Материал, используемый для калибровки теста </w:t>
            </w:r>
            <w:proofErr w:type="gramStart"/>
            <w:r>
              <w:rPr>
                <w:rFonts w:ascii="Times New Roman" w:hAnsi="Times New Roman"/>
                <w:color w:val="000000"/>
              </w:rPr>
              <w:t>С-реактивный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белок на биохимических анализаторах. Невскрытые калибраторы стабильны при 2-10</w:t>
            </w:r>
            <w:proofErr w:type="gramStart"/>
            <w:r>
              <w:rPr>
                <w:rFonts w:ascii="Times New Roman" w:hAnsi="Times New Roman"/>
                <w:color w:val="000000"/>
              </w:rPr>
              <w:t>°С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в течение всего срока годности, указанного на упаковке. Растворенные калибраторы устойчивы при температуре 2-10</w:t>
            </w:r>
            <w:proofErr w:type="gramStart"/>
            <w:r>
              <w:rPr>
                <w:rFonts w:ascii="Times New Roman" w:hAnsi="Times New Roman"/>
                <w:color w:val="000000"/>
              </w:rPr>
              <w:t>°С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не менее 12 недель. </w:t>
            </w:r>
            <w:r>
              <w:rPr>
                <w:rFonts w:ascii="Times New Roman" w:hAnsi="Times New Roman"/>
                <w:color w:val="000000"/>
              </w:rPr>
              <w:lastRenderedPageBreak/>
              <w:t>Единица измерения: упаковка. Фасовка: 5 уровней х 2мл.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Совместимость с анализаторами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Labio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Accent</w:t>
            </w:r>
            <w:r>
              <w:rPr>
                <w:rFonts w:ascii="Times New Roman" w:hAnsi="Times New Roman"/>
                <w:sz w:val="20"/>
                <w:szCs w:val="20"/>
              </w:rPr>
              <w:t>-200.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упаковка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Контрольный материал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Материал, используемый для подтверждения качества анализа, предназначенный для проведения контроля качества при определении параметров: C-реактивный белок, 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антистрептолизин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</w:rPr>
              <w:t>, ревматоидный фактор. Невскрытые контрольные материалы стабильны при 2-10</w:t>
            </w:r>
            <w:proofErr w:type="gramStart"/>
            <w:r>
              <w:rPr>
                <w:rFonts w:ascii="Times New Roman" w:hAnsi="Times New Roman"/>
                <w:color w:val="000000"/>
              </w:rPr>
              <w:t>°С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в течение всего срока годности, указанного на упаковке. Растворенные контрольные материалы устойчивы при температуре  2-8</w:t>
            </w:r>
            <w:proofErr w:type="gramStart"/>
            <w:r>
              <w:rPr>
                <w:rFonts w:ascii="Times New Roman" w:hAnsi="Times New Roman"/>
                <w:color w:val="000000"/>
              </w:rPr>
              <w:t>°С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 не менее 4 недель. Единица измерения: упаковка. Фасовка, не менее: 2х3мл низкого и высокого уровней.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Совместимость с анализаторами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Labio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Accent</w:t>
            </w:r>
            <w:r>
              <w:rPr>
                <w:rFonts w:ascii="Times New Roman" w:hAnsi="Times New Roman"/>
                <w:sz w:val="20"/>
                <w:szCs w:val="20"/>
              </w:rPr>
              <w:t>-200.</w:t>
            </w:r>
          </w:p>
          <w:p w:rsidR="00662B30" w:rsidRDefault="0066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Контрольная сыворотка норма.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сыворотка нормальная  для проведения контроля качества биохимических исследований на биохимических анализаторах: альбумин, билирубин общий, билирубин прямой, общий белок, холестерин, ЛПВП, ЛПНП, глюкоза,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мочевая кислота, мочевина, триглицериды,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лактат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амилаза, амилаза панкреатическая, АЛТ, АСТ,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холинэстераза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гидроксибутератдегидрогеназа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ЛДГ, кислая фосфатаза общая, кислая фосфатаза простатическая,  щелочная фосфатаза, гамма-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глутамилтрансфераза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креатинкиназа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липаза, цинк, фосфор, магний, медь, кальций,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железо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натрий, хлор, ненасыщенная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железосвязывающая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способность, гамма-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гидроксибутератдегидрогеназа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Состав: Концентрация органических и неорганических компонентов, а также активность ферментов, заключенных в контрольном материале, достаточна для проведения контроля качества анализов, производимых на биохимических анализаторах.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Срок и условия хранения: невскрытый контрольный материал стабилен при температуре 2-8 °C в течение всего срока годности, указанного на упаковке. Растворённый контрольный материал устойчив при  температуре 2-8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 менее 7дней, при температуре -20°С не менее  30дней.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измерения: набор.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не менее: 4х5 мл.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Контрольная сыворотка патология.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сыворотка патологическая  для проведения контроля качества биохимических исследований на биохимических анализаторах: альбумин, билирубин общий, билирубин прямой, общий белок, холестерин, ЛПВП, ЛПНП, глюкоза,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мочевая кислота, мочевина, триглицериды,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лактат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амилаза, амилаза панкреатическая, АЛТ, АСТ,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холинэстераза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гидроксибутератдегидрогеназа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ЛДГ, кислая  фосфатаза общая, кислая фосфатаза простатическая,  щелочная фосфатаза, гамма-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глутамилтрансфераза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креатинкиназа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липаза, цинк, фосфор, магний, медь, кальций,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железо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натрий, хлор, ненасыщенная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железосвязывающая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способность, гамма-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гидроксибутератдегидрогеназа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Состав: Концентрация органических и неорганических компонентов, а также активность ферментов, заключенных в контрольном материале, достаточна для проведения контроля качества анализов, производимых на биохимических анализаторах.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 условия хранения: невскрытый контрольный материал стабилен при температуре 2-8 °C в течение всего срока годности, указанного на упаковке. Растворённый контрольный материал устойчив при  температуре 2-8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 менее 7дней, при температуре -20°С не менее  30дней.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измерения: набор.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не менее: 4х5 мл.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Мультикалибратор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уровень 2.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Мультикалибратор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2-уровня, предназначен для калибровки ряда биохимических параметров: альбумин, билирубин общий, билирубин прямой, общий белок, холестерин, глюкоза,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мочевая кислота, мочевина, триглицериды,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лактат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амилаза, амилаза панкреатическая, АЛТ, АСТ,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холинэстераза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гидроксибутератдегидрогеназа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ЛДГ, кислая фосфатаза общая, кислая фосфатаза простатическая,  щелочная фосфатаза, гамма-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глутамилтрансфераза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креатинкиназа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липаза, цинк, фосфор, магний, медь, кальций, железо, ненасыщенная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железосвязывающая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способность.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Состав: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известными значениями концентраций биохимических параметров.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Срок и условия хранения: невскрытый калибратор стабилен при 2-10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течение срока годности, указанного на упаковке.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Растворённый калибратор устойчив при  температуре 2-8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 менее 7дней, при температуре -20°С не менее  30дней.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измерения: набор.</w:t>
            </w:r>
          </w:p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Фасовка, не менее: 10х5 мл.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Стандарт холестерина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Материал, используемый для установления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референтных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значений для анализа, предназначенный для количественного определения общего холестерина(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totalcholesterol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в клиническом образце (калибровка холестерина).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аствор с концентрацией холестерина 5,1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/л. 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 условия хранения: невскрытый калибратор стабилен при 2-10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течение срока годности, указанного на упаковке. 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измерения: набор.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не мене</w:t>
            </w:r>
            <w:r>
              <w:rPr>
                <w:rFonts w:ascii="Times New Roman" w:hAnsi="Times New Roman"/>
                <w:sz w:val="24"/>
                <w:szCs w:val="24"/>
              </w:rPr>
              <w:t>е: 1</w:t>
            </w:r>
            <w:r>
              <w:rPr>
                <w:rFonts w:ascii="Times New Roman" w:hAnsi="Times New Roman"/>
                <w:sz w:val="20"/>
                <w:szCs w:val="20"/>
              </w:rPr>
              <w:t>х5 мл.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Стандарт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креатинина</w:t>
            </w:r>
            <w:proofErr w:type="spellEnd"/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Материал, используемый для установления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референтных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значений для анализа, предназначенный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creatinine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в клиническом образце (калибровка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креатинина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Состав: Раствор с концентрацией холестерина 176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мкмоль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/л. Срок и условия хранения: невскрытый калибратор стабилен при 2-10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течение срока годности, указанного на упаковке.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измерения: набор.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не мене</w:t>
            </w:r>
            <w:r>
              <w:rPr>
                <w:rFonts w:ascii="Times New Roman" w:hAnsi="Times New Roman"/>
                <w:sz w:val="24"/>
                <w:szCs w:val="24"/>
              </w:rPr>
              <w:t>е: 1</w:t>
            </w:r>
            <w:r>
              <w:rPr>
                <w:rFonts w:ascii="Times New Roman" w:hAnsi="Times New Roman"/>
                <w:sz w:val="20"/>
                <w:szCs w:val="20"/>
              </w:rPr>
              <w:t>х5 мл.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Стандарт мочевины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Материал, используемый для установления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референтных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значений для анализа, предназначенный для качественного и /или количественного определения мочевины/азота  мочевины в крови и/или в других биологических жидкостях в клиническом образце (калибровка мочевины).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Состав: Раствор с концентрацией мочевины  7,12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/л.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 условия хранения: невскрытый калибратор стабилен при 2-25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течение срока годности, указанного на упаковке.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измерения: набор.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не мене</w:t>
            </w:r>
            <w:r>
              <w:rPr>
                <w:rFonts w:ascii="Times New Roman" w:hAnsi="Times New Roman"/>
                <w:sz w:val="24"/>
                <w:szCs w:val="24"/>
              </w:rPr>
              <w:t>е: 1</w:t>
            </w:r>
            <w:r>
              <w:rPr>
                <w:rFonts w:ascii="Times New Roman" w:hAnsi="Times New Roman"/>
                <w:sz w:val="20"/>
                <w:szCs w:val="20"/>
              </w:rPr>
              <w:t>х5 мл.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Стандарт глюкозы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Материал, используемый для установления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референтных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значений для анализа, предназначенный для количественного определения глюкозы(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glucose</w:t>
            </w:r>
            <w:r>
              <w:rPr>
                <w:rFonts w:ascii="Times New Roman" w:hAnsi="Times New Roman"/>
                <w:sz w:val="20"/>
                <w:szCs w:val="20"/>
              </w:rPr>
              <w:t>) в клиническом образце (калибровка глюкозы).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аствор с концентрацией холестерина 5,4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/л. 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 условия хранения: невскрытый калибратор стабилен при 2-10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течение срока годности, указанного на упаковке. 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измерения: набор.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не мене</w:t>
            </w:r>
            <w:r>
              <w:rPr>
                <w:rFonts w:ascii="Times New Roman" w:hAnsi="Times New Roman"/>
                <w:sz w:val="24"/>
                <w:szCs w:val="24"/>
              </w:rPr>
              <w:t>е: 1</w:t>
            </w:r>
            <w:r>
              <w:rPr>
                <w:rFonts w:ascii="Times New Roman" w:hAnsi="Times New Roman"/>
                <w:sz w:val="20"/>
                <w:szCs w:val="20"/>
              </w:rPr>
              <w:t>х5 мл.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Концентрат моющего раствора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Буферный промывающий раствор ИВД, автоматические/полуавтоматические системы.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Предназначен для  очистки зондов проб и реагентов, миксеров и кювет биохимических анализаторов.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измерения: упаковка.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не менее: 12х1л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Концентрированный чистящий раствор для жесткой промывки.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Буферный промывающий раствор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bufferedwashsolution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), предназначенный для использования в качестве расходного реагента для автоматизированных или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полуавтоматизированных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устройств во время обработки, окрашивания и/или анализа лабораторных клинических образцов для нейтрализации/промывки/удаления излишков реактивов и/или использования в качестве смачивающего реагента.</w:t>
            </w:r>
          </w:p>
          <w:p w:rsidR="00662B30" w:rsidRDefault="00662B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состав очистительного реагента, в том числе, входят компоненты, определяющие его характеристики: неорганические соли &lt; 15,0 г/л; гипохлорит натрия 70 г/л; щелочь &lt; 2,5 г/л</w:t>
            </w:r>
          </w:p>
          <w:p w:rsidR="00662B30" w:rsidRDefault="00662B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Стабильность: реагент стабилен в течение всего срока годности при соблюдении условий хранения.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измерения: упаковка.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не менее: 500 мл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5</w:t>
            </w:r>
          </w:p>
        </w:tc>
      </w:tr>
      <w:tr w:rsidR="00662B30" w:rsidTr="00662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Кюветы реакционные.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Реакционные кюветы. </w:t>
            </w:r>
          </w:p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Используются в автоматическом биохимическом анализаторе ACCENT 200. 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Материал-оптический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полистерол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662B30" w:rsidRDefault="00662B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измерения: упаковка.</w:t>
            </w:r>
          </w:p>
          <w:p w:rsidR="00662B30" w:rsidRDefault="00662B3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Фасовк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не менее 2500 кювет (не менее 250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стрипов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, каждый запаянный в индивидуальную стерильную упаковку по не менее 10 кювет).</w:t>
            </w:r>
          </w:p>
          <w:p w:rsidR="00662B30" w:rsidRDefault="00662B3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кюветы-  5 мм× 6 мм× 30 мм, объем  900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  <w:p w:rsidR="00662B30" w:rsidRDefault="00662B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Размеры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стрипа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высота 30 мм, ширина 16 мм, длина 101 мм.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упаковка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B30" w:rsidRDefault="0066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662B30" w:rsidRDefault="00662B30" w:rsidP="00662B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2B30" w:rsidRDefault="00662B30" w:rsidP="00662B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2B30" w:rsidRDefault="00662B30" w:rsidP="00662B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Дополнительные условия:</w:t>
      </w:r>
    </w:p>
    <w:p w:rsidR="00662B30" w:rsidRDefault="00662B30" w:rsidP="00662B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к заявке:</w:t>
      </w:r>
    </w:p>
    <w:p w:rsidR="00662B30" w:rsidRDefault="00662B30" w:rsidP="00662B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Коммерческое предложение 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Тирских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Виталий Владимирович  </w:t>
      </w:r>
    </w:p>
    <w:p w:rsidR="00662B30" w:rsidRDefault="00662B30" w:rsidP="00662B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Коммерческое предложение  </w:t>
      </w:r>
      <w:r w:rsidR="00967C49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ООО «ЛОГОМЕД»</w:t>
      </w:r>
    </w:p>
    <w:p w:rsidR="00662B30" w:rsidRDefault="00662B30" w:rsidP="00662B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Коммер</w:t>
      </w:r>
      <w:r w:rsidR="009C4F5A">
        <w:rPr>
          <w:rFonts w:ascii="Times New Roman" w:eastAsia="Times New Roman" w:hAnsi="Times New Roman"/>
          <w:sz w:val="20"/>
          <w:szCs w:val="20"/>
          <w:lang w:eastAsia="ru-RU"/>
        </w:rPr>
        <w:t>ческое предложение  ИП Горбунов Василий Константинович</w:t>
      </w:r>
    </w:p>
    <w:p w:rsidR="00662B30" w:rsidRDefault="00662B30" w:rsidP="00662B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2B30" w:rsidRDefault="00662B30" w:rsidP="00662B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Ответственный исполнитель ____________/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Молева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И.В../</w:t>
      </w:r>
    </w:p>
    <w:p w:rsidR="00662B30" w:rsidRDefault="00662B30" w:rsidP="00662B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Подпись                                  </w:t>
      </w:r>
    </w:p>
    <w:p w:rsidR="00662B30" w:rsidRDefault="00662B30" w:rsidP="00662B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2B30" w:rsidRDefault="00662B30" w:rsidP="00662B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2B30" w:rsidRDefault="00662B30" w:rsidP="00662B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123D" w:rsidRDefault="000D123D"/>
    <w:sectPr w:rsidR="000D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D2660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30"/>
    <w:rsid w:val="000D123D"/>
    <w:rsid w:val="00662B30"/>
    <w:rsid w:val="00967C49"/>
    <w:rsid w:val="009C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Долгова</cp:lastModifiedBy>
  <cp:revision>5</cp:revision>
  <cp:lastPrinted>2024-02-27T06:16:00Z</cp:lastPrinted>
  <dcterms:created xsi:type="dcterms:W3CDTF">2024-02-27T05:05:00Z</dcterms:created>
  <dcterms:modified xsi:type="dcterms:W3CDTF">2024-02-27T06:17:00Z</dcterms:modified>
</cp:coreProperties>
</file>