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18" w:rsidRPr="00F66C18" w:rsidRDefault="00F66C18" w:rsidP="00F66C18">
      <w:pPr>
        <w:shd w:val="clear" w:color="auto" w:fill="FFFFFF"/>
        <w:spacing w:after="324" w:line="240" w:lineRule="auto"/>
        <w:rPr>
          <w:rFonts w:ascii="Arial" w:eastAsia="Times New Roman" w:hAnsi="Arial" w:cs="Arial"/>
          <w:color w:val="222222"/>
          <w:sz w:val="29"/>
          <w:szCs w:val="29"/>
          <w:lang w:eastAsia="ru-RU"/>
        </w:rPr>
      </w:pPr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Крупной считается сделка, связанная с приобретением или отчуждением имущества, стоимость которого составляет 25 % и больше от балансовой стоимости активов предприятия. Стоимость активов определяют по бухгалтерской отчетности на последнюю отчетную дату (см </w:t>
      </w:r>
      <w:hyperlink r:id="rId5" w:tgtFrame="_blank" w:history="1">
        <w:r w:rsidRPr="00F66C18">
          <w:rPr>
            <w:rFonts w:ascii="Arial" w:eastAsia="Times New Roman" w:hAnsi="Arial" w:cs="Arial"/>
            <w:color w:val="0000FF"/>
            <w:sz w:val="29"/>
            <w:lang w:eastAsia="ru-RU"/>
          </w:rPr>
          <w:t>ст. 78 208-ФЗ</w:t>
        </w:r>
      </w:hyperlink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 «Об акционерных обществах» и </w:t>
      </w:r>
      <w:hyperlink r:id="rId6" w:tgtFrame="_blank" w:history="1">
        <w:r w:rsidRPr="00F66C18">
          <w:rPr>
            <w:rFonts w:ascii="Arial" w:eastAsia="Times New Roman" w:hAnsi="Arial" w:cs="Arial"/>
            <w:color w:val="0000FF"/>
            <w:sz w:val="29"/>
            <w:lang w:eastAsia="ru-RU"/>
          </w:rPr>
          <w:t>ст. 46 14-ФЗ </w:t>
        </w:r>
      </w:hyperlink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 xml:space="preserve">«Об обществах </w:t>
      </w:r>
      <w:proofErr w:type="gramStart"/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с</w:t>
      </w:r>
      <w:proofErr w:type="gramEnd"/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 xml:space="preserve"> ограниченной </w:t>
      </w:r>
      <w:proofErr w:type="spellStart"/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отвественностью</w:t>
      </w:r>
      <w:proofErr w:type="spellEnd"/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»).</w:t>
      </w:r>
      <w:r>
        <w:rPr>
          <w:rFonts w:ascii="Arial" w:eastAsia="Times New Roman" w:hAnsi="Arial" w:cs="Arial"/>
          <w:color w:val="222222"/>
          <w:sz w:val="29"/>
          <w:szCs w:val="29"/>
          <w:lang w:eastAsia="ru-RU"/>
        </w:rPr>
        <w:t xml:space="preserve"> Я, </w:t>
      </w:r>
      <w:proofErr w:type="spellStart"/>
      <w:r>
        <w:rPr>
          <w:rFonts w:ascii="Arial" w:eastAsia="Times New Roman" w:hAnsi="Arial" w:cs="Arial"/>
          <w:color w:val="222222"/>
          <w:sz w:val="29"/>
          <w:szCs w:val="29"/>
          <w:lang w:eastAsia="ru-RU"/>
        </w:rPr>
        <w:t>Водяницкая</w:t>
      </w:r>
      <w:proofErr w:type="spellEnd"/>
      <w:r>
        <w:rPr>
          <w:rFonts w:ascii="Arial" w:eastAsia="Times New Roman" w:hAnsi="Arial" w:cs="Arial"/>
          <w:color w:val="222222"/>
          <w:sz w:val="29"/>
          <w:szCs w:val="29"/>
          <w:lang w:eastAsia="ru-RU"/>
        </w:rPr>
        <w:t xml:space="preserve"> Мария Юрьевна, являюсь индивидуальным предпринимателем, поэтому решение об одобрении крупной сделке не требуется</w:t>
      </w:r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, так как физ</w:t>
      </w:r>
      <w:r w:rsidR="00BF2805">
        <w:rPr>
          <w:rFonts w:ascii="Arial" w:eastAsia="Times New Roman" w:hAnsi="Arial" w:cs="Arial"/>
          <w:color w:val="222222"/>
          <w:sz w:val="29"/>
          <w:szCs w:val="29"/>
          <w:lang w:eastAsia="ru-RU"/>
        </w:rPr>
        <w:t xml:space="preserve">., </w:t>
      </w:r>
      <w:r w:rsidRPr="00F66C18">
        <w:rPr>
          <w:rFonts w:ascii="Arial" w:eastAsia="Times New Roman" w:hAnsi="Arial" w:cs="Arial"/>
          <w:color w:val="222222"/>
          <w:sz w:val="29"/>
          <w:szCs w:val="29"/>
          <w:lang w:eastAsia="ru-RU"/>
        </w:rPr>
        <w:t>лицо не должно одобрять сделки самому себе. </w:t>
      </w:r>
    </w:p>
    <w:p w:rsidR="00DC30DF" w:rsidRDefault="00BF2805">
      <w:pPr>
        <w:rPr>
          <w:rFonts w:ascii="Arial" w:hAnsi="Arial" w:cs="Arial"/>
          <w:color w:val="1C1C21"/>
          <w:spacing w:val="1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1C1C21"/>
          <w:spacing w:val="10"/>
          <w:sz w:val="26"/>
          <w:szCs w:val="26"/>
          <w:shd w:val="clear" w:color="auto" w:fill="FFFFFF"/>
        </w:rPr>
        <w:t>Кроме того, одобрение сделки не нужно физическим лицам, в том числе ИП, так как необходимость такого одобрения не предусмотрена законодательством РФ. Контрольными органами требование о наличии такого решения у ИП может быть признано нарушением (</w:t>
      </w:r>
      <w:proofErr w:type="gramStart"/>
      <w:r>
        <w:rPr>
          <w:rFonts w:ascii="Arial" w:hAnsi="Arial" w:cs="Arial"/>
          <w:color w:val="1C1C21"/>
          <w:spacing w:val="10"/>
          <w:sz w:val="26"/>
          <w:szCs w:val="26"/>
          <w:shd w:val="clear" w:color="auto" w:fill="FFFFFF"/>
        </w:rPr>
        <w:t>см</w:t>
      </w:r>
      <w:proofErr w:type="gramEnd"/>
      <w:r>
        <w:rPr>
          <w:rFonts w:ascii="Arial" w:hAnsi="Arial" w:cs="Arial"/>
          <w:color w:val="1C1C21"/>
          <w:spacing w:val="10"/>
          <w:sz w:val="26"/>
          <w:szCs w:val="26"/>
          <w:shd w:val="clear" w:color="auto" w:fill="FFFFFF"/>
        </w:rPr>
        <w:t>. Решение Ставропольского УФАС России от 18.05.2020 по делу N 026/06/69-1085/2020).</w:t>
      </w:r>
      <w:r>
        <w:rPr>
          <w:rFonts w:ascii="Arial" w:hAnsi="Arial" w:cs="Arial"/>
          <w:color w:val="1C1C21"/>
          <w:spacing w:val="10"/>
          <w:sz w:val="26"/>
          <w:szCs w:val="26"/>
        </w:rPr>
        <w:br/>
      </w:r>
      <w:r>
        <w:rPr>
          <w:rFonts w:ascii="Arial" w:hAnsi="Arial" w:cs="Arial"/>
          <w:color w:val="1C1C21"/>
          <w:spacing w:val="10"/>
          <w:sz w:val="26"/>
          <w:szCs w:val="26"/>
          <w:shd w:val="clear" w:color="auto" w:fill="FFFFFF"/>
        </w:rPr>
        <w:t>Подробности: </w:t>
      </w:r>
      <w:hyperlink r:id="rId7" w:history="1">
        <w:r>
          <w:rPr>
            <w:rStyle w:val="a4"/>
            <w:rFonts w:ascii="Arial" w:hAnsi="Arial" w:cs="Arial"/>
            <w:color w:val="3F51B5"/>
            <w:spacing w:val="10"/>
            <w:sz w:val="26"/>
            <w:szCs w:val="26"/>
            <w:shd w:val="clear" w:color="auto" w:fill="FFFFFF"/>
          </w:rPr>
          <w:t>https://gkgz.ru/kakoj-poryadok-predostavleniya-resheniya-ob-odobrenii-krupnoj-sdelki-uchastnikom-zakupki-predusmotren-po-zakonu-n-44-fz/</w:t>
        </w:r>
      </w:hyperlink>
      <w:r>
        <w:rPr>
          <w:rFonts w:ascii="Arial" w:hAnsi="Arial" w:cs="Arial"/>
          <w:color w:val="1C1C21"/>
          <w:spacing w:val="10"/>
          <w:sz w:val="26"/>
          <w:szCs w:val="26"/>
        </w:rPr>
        <w:br/>
      </w:r>
    </w:p>
    <w:p w:rsidR="00FF1AA6" w:rsidRDefault="00FF1AA6"/>
    <w:sectPr w:rsidR="00FF1AA6" w:rsidSect="00DC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C7C24"/>
    <w:multiLevelType w:val="multilevel"/>
    <w:tmpl w:val="DEEA4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66C18"/>
    <w:rsid w:val="00360C27"/>
    <w:rsid w:val="003A69EE"/>
    <w:rsid w:val="00402C8E"/>
    <w:rsid w:val="00406F59"/>
    <w:rsid w:val="004A46D7"/>
    <w:rsid w:val="004B20D4"/>
    <w:rsid w:val="00523789"/>
    <w:rsid w:val="005469CF"/>
    <w:rsid w:val="005B668B"/>
    <w:rsid w:val="006D473D"/>
    <w:rsid w:val="00743F13"/>
    <w:rsid w:val="008F0779"/>
    <w:rsid w:val="00953C17"/>
    <w:rsid w:val="0096236D"/>
    <w:rsid w:val="00A979E2"/>
    <w:rsid w:val="00AC424A"/>
    <w:rsid w:val="00B44517"/>
    <w:rsid w:val="00BF2805"/>
    <w:rsid w:val="00BF5521"/>
    <w:rsid w:val="00C86B1C"/>
    <w:rsid w:val="00DC30DF"/>
    <w:rsid w:val="00E01344"/>
    <w:rsid w:val="00F66C18"/>
    <w:rsid w:val="00FF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6C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kgz.ru/kakoj-poryadok-predostavleniya-resheniya-ob-odobrenii-krupnoj-sdelki-uchastnikom-zakupki-predusmotren-po-zakonu-n-44-f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314420&amp;rangeId=257607&amp;utm_source=google&amp;utm_medium=organic&amp;utm_referer=www.google.com&amp;utm_startpage=zakupki.kontur.ru%2Fsite%2Farticles%2F1256-reshenie-ob-odobrenii-krypnoi-sdelki&amp;utm_orderpage=zakupki.kontur.ru%2Fsite%2Farticles%2F1256-reshenie-ob-odobrenii-krypnoi-sdelki" TargetMode="External"/><Relationship Id="rId5" Type="http://schemas.openxmlformats.org/officeDocument/2006/relationships/hyperlink" Target="https://normativ.kontur.ru/document?moduleId=1&amp;documentId=334092&amp;rangeId=257494&amp;utm_source=google&amp;utm_medium=organic&amp;utm_referer=www.google.com&amp;utm_startpage=zakupki.kontur.ru%2Fsite%2Farticles%2F1256-reshenie-ob-odobrenii-krypnoi-sdelki&amp;utm_orderpage=zakupki.kontur.ru%2Fsite%2Farticles%2F1256-reshenie-ob-odobrenii-krypnoi-sdelk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1619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2023-01-12T09:44:00Z</dcterms:created>
  <dcterms:modified xsi:type="dcterms:W3CDTF">2023-01-12T09:49:00Z</dcterms:modified>
</cp:coreProperties>
</file>