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r w:rsidRPr="00C42669">
        <w:rPr>
          <w:b/>
          <w:kern w:val="32"/>
        </w:rPr>
        <w:t>на</w:t>
      </w:r>
      <w:r w:rsidR="00F47452">
        <w:rPr>
          <w:b/>
        </w:rPr>
        <w:t xml:space="preserve">оказание услуг </w:t>
      </w:r>
      <w:r w:rsidR="00BD10E7">
        <w:rPr>
          <w:b/>
        </w:rPr>
        <w:t xml:space="preserve"> по техническому обслуживанию и ремонту автотранспортных средств</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BD10E7">
        <w:rPr>
          <w:b/>
          <w:kern w:val="32"/>
        </w:rPr>
        <w:t>351-21н</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AE7FE3">
            <w:pPr>
              <w:autoSpaceDE w:val="0"/>
              <w:autoSpaceDN w:val="0"/>
              <w:adjustRightInd w:val="0"/>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пп.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EE7CEC"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r w:rsidR="00C7537F" w:rsidRPr="00E249D5">
                <w:rPr>
                  <w:rStyle w:val="a4"/>
                  <w:sz w:val="20"/>
                  <w:szCs w:val="20"/>
                  <w:lang w:val="en-US"/>
                </w:rPr>
                <w:t>gkb</w:t>
              </w:r>
              <w:r w:rsidR="00C7537F" w:rsidRPr="00E249D5">
                <w:rPr>
                  <w:rStyle w:val="a4"/>
                  <w:sz w:val="20"/>
                  <w:szCs w:val="20"/>
                </w:rPr>
                <w:t>8.</w:t>
              </w:r>
              <w:r w:rsidR="00C7537F" w:rsidRPr="00E249D5">
                <w:rPr>
                  <w:rStyle w:val="a4"/>
                  <w:sz w:val="20"/>
                  <w:szCs w:val="20"/>
                  <w:lang w:val="en-US"/>
                </w:rPr>
                <w:t>ru</w:t>
              </w:r>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70CA0"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336B6B">
              <w:rPr>
                <w:sz w:val="20"/>
                <w:szCs w:val="20"/>
              </w:rPr>
              <w:t xml:space="preserve"> </w:t>
            </w:r>
            <w:r w:rsidR="00F47452">
              <w:rPr>
                <w:sz w:val="20"/>
                <w:szCs w:val="20"/>
              </w:rPr>
              <w:t xml:space="preserve">Оказание услуг </w:t>
            </w:r>
            <w:r w:rsidR="00BD10E7">
              <w:rPr>
                <w:sz w:val="20"/>
                <w:szCs w:val="20"/>
              </w:rPr>
              <w:t xml:space="preserve"> по техническому обслуживанию и ремонту автотранспортных средств</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79445E" w:rsidRPr="00E249D5" w:rsidTr="00C42669">
        <w:tc>
          <w:tcPr>
            <w:tcW w:w="516" w:type="dxa"/>
            <w:tcBorders>
              <w:top w:val="single" w:sz="4" w:space="0" w:color="auto"/>
              <w:left w:val="single" w:sz="4" w:space="0" w:color="auto"/>
              <w:bottom w:val="single" w:sz="4" w:space="0" w:color="auto"/>
              <w:right w:val="single" w:sz="4" w:space="0" w:color="auto"/>
            </w:tcBorders>
          </w:tcPr>
          <w:p w:rsidR="0079445E" w:rsidRPr="00E249D5" w:rsidRDefault="0079445E" w:rsidP="0079445E">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79445E" w:rsidRPr="00E249D5" w:rsidRDefault="0079445E" w:rsidP="0079445E">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79445E" w:rsidRPr="00BD6F23" w:rsidRDefault="00BD10E7" w:rsidP="0079445E">
            <w:pPr>
              <w:rPr>
                <w:sz w:val="18"/>
                <w:szCs w:val="18"/>
              </w:rPr>
            </w:pPr>
            <w:r w:rsidRPr="00BD10E7">
              <w:rPr>
                <w:sz w:val="20"/>
                <w:szCs w:val="20"/>
              </w:rPr>
              <w:t>45.20.11.200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BD10E7" w:rsidP="0079445E">
            <w:pPr>
              <w:autoSpaceDE w:val="0"/>
              <w:autoSpaceDN w:val="0"/>
              <w:adjustRightInd w:val="0"/>
              <w:rPr>
                <w:sz w:val="20"/>
                <w:szCs w:val="20"/>
              </w:rPr>
            </w:pPr>
            <w:r>
              <w:rPr>
                <w:sz w:val="20"/>
                <w:szCs w:val="20"/>
              </w:rPr>
              <w:t>334</w:t>
            </w:r>
          </w:p>
        </w:tc>
      </w:tr>
      <w:tr w:rsidR="0072039C" w:rsidRPr="00E249D5" w:rsidTr="00C42669">
        <w:tc>
          <w:tcPr>
            <w:tcW w:w="516" w:type="dxa"/>
            <w:tcBorders>
              <w:top w:val="single" w:sz="4" w:space="0" w:color="auto"/>
              <w:left w:val="single" w:sz="4" w:space="0" w:color="auto"/>
              <w:bottom w:val="single" w:sz="4" w:space="0" w:color="auto"/>
              <w:right w:val="single" w:sz="4" w:space="0" w:color="auto"/>
            </w:tcBorders>
          </w:tcPr>
          <w:p w:rsidR="0072039C" w:rsidRPr="00E249D5" w:rsidRDefault="0072039C" w:rsidP="00673714">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72039C" w:rsidRPr="00E249D5" w:rsidRDefault="0072039C" w:rsidP="00017099">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E249D5" w:rsidRPr="00E249D5" w:rsidRDefault="0072039C" w:rsidP="00E249D5">
            <w:pPr>
              <w:autoSpaceDE w:val="0"/>
              <w:autoSpaceDN w:val="0"/>
              <w:adjustRightInd w:val="0"/>
              <w:rPr>
                <w:sz w:val="20"/>
                <w:szCs w:val="20"/>
              </w:rPr>
            </w:pPr>
            <w:r w:rsidRPr="00E249D5">
              <w:rPr>
                <w:sz w:val="20"/>
                <w:szCs w:val="20"/>
              </w:rPr>
              <w:t>Средства территориального фонда ОМС</w:t>
            </w:r>
          </w:p>
          <w:p w:rsidR="0072039C" w:rsidRPr="00E249D5" w:rsidRDefault="0072039C" w:rsidP="00C42669">
            <w:pPr>
              <w:autoSpaceDE w:val="0"/>
              <w:autoSpaceDN w:val="0"/>
              <w:adjustRightInd w:val="0"/>
              <w:rPr>
                <w:sz w:val="20"/>
                <w:szCs w:val="20"/>
              </w:rPr>
            </w:pPr>
          </w:p>
        </w:tc>
      </w:tr>
      <w:tr w:rsidR="0079445E" w:rsidRPr="00E249D5" w:rsidTr="00C42669">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9445E" w:rsidRPr="008024A7" w:rsidRDefault="00F47452" w:rsidP="0079445E">
            <w:pPr>
              <w:jc w:val="both"/>
              <w:rPr>
                <w:sz w:val="20"/>
                <w:szCs w:val="20"/>
              </w:rPr>
            </w:pPr>
            <w:r>
              <w:rPr>
                <w:sz w:val="20"/>
                <w:szCs w:val="20"/>
              </w:rPr>
              <w:t>с момента подписания договора по 31.12.2022г.</w:t>
            </w:r>
          </w:p>
        </w:tc>
      </w:tr>
      <w:tr w:rsidR="0079445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79445E" w:rsidRPr="008024A7" w:rsidRDefault="001D26B7" w:rsidP="001D26B7">
            <w:pPr>
              <w:jc w:val="both"/>
              <w:rPr>
                <w:sz w:val="20"/>
                <w:szCs w:val="20"/>
              </w:rPr>
            </w:pPr>
            <w:r>
              <w:rPr>
                <w:sz w:val="20"/>
                <w:szCs w:val="20"/>
              </w:rPr>
              <w:t>специализированная автостанция, распложенная в Ленинском районе (Ново-Ленино) г. Иркутска.</w:t>
            </w:r>
          </w:p>
        </w:tc>
      </w:tr>
      <w:tr w:rsidR="0079445E"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jc w:val="center"/>
              <w:outlineLvl w:val="1"/>
              <w:rPr>
                <w:sz w:val="20"/>
                <w:szCs w:val="20"/>
              </w:rPr>
            </w:pPr>
            <w:r w:rsidRPr="008024A7">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79445E" w:rsidRPr="008024A7" w:rsidRDefault="0079445E" w:rsidP="0079445E">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79445E" w:rsidRPr="007C7AC6" w:rsidRDefault="001D26B7" w:rsidP="001D26B7">
            <w:pPr>
              <w:tabs>
                <w:tab w:val="left" w:pos="6022"/>
              </w:tabs>
              <w:ind w:right="72"/>
              <w:rPr>
                <w:sz w:val="20"/>
                <w:szCs w:val="20"/>
              </w:rPr>
            </w:pPr>
            <w:r>
              <w:rPr>
                <w:sz w:val="20"/>
                <w:szCs w:val="20"/>
              </w:rPr>
              <w:t>99 750,00</w:t>
            </w:r>
            <w:r w:rsidR="0079445E" w:rsidRPr="008024A7">
              <w:rPr>
                <w:sz w:val="20"/>
                <w:szCs w:val="20"/>
              </w:rPr>
              <w:t>руб</w:t>
            </w:r>
            <w:r w:rsidR="0079445E">
              <w:rPr>
                <w:sz w:val="20"/>
                <w:szCs w:val="20"/>
              </w:rPr>
              <w:t>.</w:t>
            </w:r>
            <w:r w:rsidR="0079445E" w:rsidRPr="008024A7">
              <w:rPr>
                <w:sz w:val="20"/>
                <w:szCs w:val="20"/>
              </w:rPr>
              <w:t xml:space="preserve"> (</w:t>
            </w:r>
            <w:r>
              <w:rPr>
                <w:sz w:val="20"/>
                <w:szCs w:val="20"/>
              </w:rPr>
              <w:t>девяносто девять тысяч семьсот пятьдесят рублей</w:t>
            </w:r>
            <w:r w:rsidR="0079445E" w:rsidRPr="008024A7">
              <w:rPr>
                <w:sz w:val="20"/>
                <w:szCs w:val="20"/>
              </w:rPr>
              <w:t>)</w:t>
            </w:r>
            <w:r w:rsidR="0079445E">
              <w:rPr>
                <w:sz w:val="20"/>
                <w:szCs w:val="20"/>
              </w:rPr>
              <w:t>.</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Pr="008024A7">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t>Российский рубль</w:t>
            </w: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jc w:val="center"/>
              <w:outlineLvl w:val="1"/>
              <w:rPr>
                <w:sz w:val="20"/>
                <w:szCs w:val="20"/>
              </w:rPr>
            </w:pPr>
            <w:r w:rsidRPr="008024A7">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autoSpaceDE w:val="0"/>
              <w:autoSpaceDN w:val="0"/>
              <w:adjustRightInd w:val="0"/>
              <w:outlineLvl w:val="1"/>
              <w:rPr>
                <w:b/>
                <w:sz w:val="20"/>
                <w:szCs w:val="20"/>
              </w:rPr>
            </w:pPr>
            <w:r w:rsidRPr="008024A7">
              <w:rPr>
                <w:b/>
                <w:sz w:val="20"/>
                <w:szCs w:val="20"/>
              </w:rPr>
              <w:t xml:space="preserve">Порядок применения официального курса иностранной валюты к рублю Российской Федерации, установленного </w:t>
            </w:r>
            <w:r w:rsidRPr="008024A7">
              <w:rPr>
                <w:b/>
                <w:sz w:val="20"/>
                <w:szCs w:val="20"/>
              </w:rPr>
              <w:lastRenderedPageBreak/>
              <w:t>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CC23BC" w:rsidP="00CC23BC">
            <w:pPr>
              <w:jc w:val="both"/>
              <w:rPr>
                <w:sz w:val="20"/>
                <w:szCs w:val="20"/>
              </w:rPr>
            </w:pPr>
            <w:r w:rsidRPr="008024A7">
              <w:rPr>
                <w:sz w:val="20"/>
                <w:szCs w:val="20"/>
              </w:rPr>
              <w:lastRenderedPageBreak/>
              <w:t>Требование не установлено</w:t>
            </w:r>
          </w:p>
          <w:p w:rsidR="00CC23BC" w:rsidRPr="008024A7" w:rsidRDefault="00CC23BC" w:rsidP="00CC23BC">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CC23BC" w:rsidRPr="00E249D5" w:rsidTr="00C42669">
        <w:tc>
          <w:tcPr>
            <w:tcW w:w="516"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CC23BC" w:rsidRPr="00E249D5" w:rsidRDefault="00CC23BC" w:rsidP="00CC23BC">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CC23BC" w:rsidRPr="008024A7" w:rsidRDefault="001D26B7" w:rsidP="00CC23BC">
            <w:pPr>
              <w:autoSpaceDE w:val="0"/>
              <w:autoSpaceDN w:val="0"/>
              <w:adjustRightInd w:val="0"/>
              <w:jc w:val="both"/>
              <w:outlineLvl w:val="1"/>
              <w:rPr>
                <w:sz w:val="20"/>
                <w:szCs w:val="20"/>
              </w:rPr>
            </w:pPr>
            <w:r>
              <w:rPr>
                <w:sz w:val="20"/>
                <w:szCs w:val="20"/>
              </w:rPr>
              <w:t>2 992,50</w:t>
            </w:r>
            <w:r w:rsidR="0079445E" w:rsidRPr="007C7AC6">
              <w:rPr>
                <w:sz w:val="20"/>
                <w:szCs w:val="20"/>
              </w:rPr>
              <w:t xml:space="preserve"> руб. (</w:t>
            </w:r>
            <w:r>
              <w:rPr>
                <w:sz w:val="20"/>
                <w:szCs w:val="20"/>
              </w:rPr>
              <w:t>две тысячи девятьсот девяносто два рубля пятьдесят копеек</w:t>
            </w:r>
            <w:r w:rsidR="0079445E" w:rsidRPr="007C7AC6">
              <w:rPr>
                <w:sz w:val="20"/>
                <w:szCs w:val="20"/>
              </w:rPr>
              <w:t>).</w:t>
            </w:r>
          </w:p>
          <w:p w:rsidR="00CC23BC" w:rsidRPr="008024A7" w:rsidRDefault="00CC23BC" w:rsidP="00CC23BC">
            <w:pPr>
              <w:shd w:val="clear" w:color="auto" w:fill="FFFFFF"/>
              <w:tabs>
                <w:tab w:val="left" w:pos="1701"/>
                <w:tab w:val="left" w:pos="2127"/>
              </w:tabs>
              <w:jc w:val="both"/>
              <w:rPr>
                <w:sz w:val="20"/>
                <w:szCs w:val="20"/>
              </w:rPr>
            </w:pP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CC23BC" w:rsidRPr="008024A7" w:rsidRDefault="00CC23BC" w:rsidP="00CC23BC">
            <w:pPr>
              <w:pStyle w:val="ad"/>
              <w:tabs>
                <w:tab w:val="left" w:pos="709"/>
              </w:tabs>
              <w:spacing w:after="0" w:line="100" w:lineRule="atLeast"/>
              <w:jc w:val="both"/>
              <w:rPr>
                <w:sz w:val="20"/>
                <w:szCs w:val="20"/>
              </w:rPr>
            </w:pPr>
          </w:p>
          <w:p w:rsidR="00CC23BC" w:rsidRPr="008024A7" w:rsidRDefault="00CC23BC" w:rsidP="00CC23BC">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CC23BC" w:rsidRPr="008024A7" w:rsidRDefault="00CC23BC" w:rsidP="00CC23BC">
            <w:pPr>
              <w:pStyle w:val="ad"/>
              <w:numPr>
                <w:ilvl w:val="0"/>
                <w:numId w:val="1"/>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CC23BC" w:rsidRPr="008024A7" w:rsidRDefault="00CC23BC" w:rsidP="00CC23BC">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CC23BC" w:rsidRPr="008024A7" w:rsidRDefault="00CC23BC" w:rsidP="00CC23BC">
            <w:pPr>
              <w:rPr>
                <w:sz w:val="20"/>
                <w:szCs w:val="20"/>
              </w:rPr>
            </w:pPr>
            <w:r w:rsidRPr="008024A7">
              <w:rPr>
                <w:sz w:val="20"/>
                <w:szCs w:val="20"/>
              </w:rPr>
              <w:t xml:space="preserve">ИНН 3810009342    </w:t>
            </w:r>
          </w:p>
          <w:p w:rsidR="00CC23BC" w:rsidRPr="008024A7" w:rsidRDefault="00CC23BC" w:rsidP="00CC23BC">
            <w:pPr>
              <w:rPr>
                <w:sz w:val="20"/>
                <w:szCs w:val="20"/>
              </w:rPr>
            </w:pPr>
            <w:r w:rsidRPr="008024A7">
              <w:rPr>
                <w:sz w:val="20"/>
                <w:szCs w:val="20"/>
              </w:rPr>
              <w:t>КПП 381001001</w:t>
            </w:r>
          </w:p>
          <w:p w:rsidR="00CC23BC" w:rsidRPr="008024A7" w:rsidRDefault="00CC23BC" w:rsidP="00CC23BC">
            <w:pPr>
              <w:pStyle w:val="aff6"/>
              <w:widowControl w:val="0"/>
            </w:pPr>
            <w:r w:rsidRPr="008024A7">
              <w:t>Минфин Иркутской области (ОГАУЗ «Иркутская городская клиническая больница № 8», л/с 80303060207)</w:t>
            </w:r>
          </w:p>
          <w:p w:rsidR="00CC23BC" w:rsidRPr="008024A7" w:rsidRDefault="00CC23BC" w:rsidP="00CC23BC">
            <w:pPr>
              <w:pStyle w:val="aff6"/>
              <w:widowControl w:val="0"/>
            </w:pPr>
            <w:r w:rsidRPr="008024A7">
              <w:t>Казначейский счет 03224643250000003400</w:t>
            </w:r>
          </w:p>
          <w:p w:rsidR="00CC23BC" w:rsidRPr="008024A7" w:rsidRDefault="00CC23BC" w:rsidP="00CC23BC">
            <w:pPr>
              <w:pStyle w:val="aff6"/>
              <w:widowControl w:val="0"/>
            </w:pPr>
            <w:r w:rsidRPr="008024A7">
              <w:t>Банковский счет 40102810145370000026</w:t>
            </w:r>
          </w:p>
          <w:p w:rsidR="00CC23BC" w:rsidRPr="008024A7" w:rsidRDefault="00CC23BC" w:rsidP="00CC23BC">
            <w:pPr>
              <w:pStyle w:val="aff6"/>
              <w:widowControl w:val="0"/>
            </w:pPr>
            <w:r w:rsidRPr="008024A7">
              <w:t>Наименование банка: Отделение Иркутск//УФК по Иркутской области, г. Иркутск</w:t>
            </w:r>
          </w:p>
          <w:p w:rsidR="00CC23BC" w:rsidRPr="008024A7" w:rsidRDefault="00CC23BC" w:rsidP="00CC23BC">
            <w:pPr>
              <w:pStyle w:val="aff6"/>
              <w:widowControl w:val="0"/>
            </w:pPr>
            <w:r w:rsidRPr="008024A7">
              <w:t>БИК 012520101</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CC23BC" w:rsidRPr="008024A7" w:rsidRDefault="00CC23BC" w:rsidP="00CC23BC">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CC23BC" w:rsidRPr="008024A7" w:rsidRDefault="00CC23BC" w:rsidP="00CC23BC">
            <w:pPr>
              <w:ind w:right="76"/>
              <w:jc w:val="both"/>
              <w:rPr>
                <w:sz w:val="20"/>
                <w:szCs w:val="20"/>
              </w:rPr>
            </w:pPr>
            <w:r w:rsidRPr="008024A7">
              <w:rPr>
                <w:sz w:val="20"/>
                <w:szCs w:val="20"/>
              </w:rPr>
              <w:t xml:space="preserve">Код субсидии 803093000 </w:t>
            </w:r>
          </w:p>
          <w:p w:rsidR="00CC23BC" w:rsidRPr="008024A7" w:rsidRDefault="00CC23BC" w:rsidP="00CC23BC">
            <w:pPr>
              <w:shd w:val="clear" w:color="auto" w:fill="FFFFFF"/>
              <w:tabs>
                <w:tab w:val="left" w:pos="1701"/>
              </w:tabs>
              <w:jc w:val="both"/>
              <w:rPr>
                <w:sz w:val="20"/>
                <w:szCs w:val="20"/>
              </w:rPr>
            </w:pPr>
            <w:r w:rsidRPr="008024A7">
              <w:rPr>
                <w:sz w:val="20"/>
                <w:szCs w:val="20"/>
              </w:rPr>
              <w:t>Отраслевой код 00000000000000000</w:t>
            </w:r>
          </w:p>
          <w:p w:rsidR="00CC23BC" w:rsidRPr="008024A7" w:rsidRDefault="00CC23BC" w:rsidP="00CC23BC">
            <w:pPr>
              <w:pStyle w:val="ae"/>
              <w:numPr>
                <w:ilvl w:val="0"/>
                <w:numId w:val="1"/>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CC23BC" w:rsidRPr="008024A7" w:rsidRDefault="00CC23BC" w:rsidP="00CC23BC">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C23BC" w:rsidRPr="008024A7" w:rsidRDefault="00CC23BC" w:rsidP="00CC23BC">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w:t>
            </w:r>
            <w:r w:rsidRPr="008024A7">
              <w:rPr>
                <w:rFonts w:ascii="Times New Roman" w:hAnsi="Times New Roman" w:cs="Times New Roman"/>
                <w:color w:val="auto"/>
                <w:sz w:val="20"/>
                <w:szCs w:val="20"/>
              </w:rPr>
              <w:lastRenderedPageBreak/>
              <w:t>средств на счет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C23BC" w:rsidRPr="008024A7" w:rsidRDefault="00CC23BC" w:rsidP="00CC23BC">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C23BC" w:rsidRPr="008024A7" w:rsidRDefault="00CC23BC" w:rsidP="00CC23BC">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23BC" w:rsidRPr="008024A7" w:rsidRDefault="00CC23BC" w:rsidP="00CC23BC">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CC23BC" w:rsidRPr="008024A7" w:rsidRDefault="00CC23BC" w:rsidP="00CC23BC">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 xml:space="preserve">требований о предоставлении Заказчиком гаранту отчета об </w:t>
            </w:r>
            <w:r w:rsidRPr="008024A7">
              <w:rPr>
                <w:sz w:val="20"/>
                <w:szCs w:val="20"/>
              </w:rPr>
              <w:lastRenderedPageBreak/>
              <w:t>исполнении договора;</w:t>
            </w:r>
          </w:p>
          <w:p w:rsidR="00CC23BC" w:rsidRPr="008024A7" w:rsidRDefault="00CC23BC" w:rsidP="00CC23BC">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C23BC" w:rsidRPr="008024A7" w:rsidRDefault="00CC23BC" w:rsidP="00CC23BC">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C23BC" w:rsidRPr="008024A7" w:rsidRDefault="00CC23BC" w:rsidP="00CC23BC">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CC23BC" w:rsidRPr="008024A7" w:rsidRDefault="00CC23BC" w:rsidP="00CC23BC">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0D7B4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0D7B4E" w:rsidRPr="00E249D5" w:rsidRDefault="000D7B4E" w:rsidP="000D7B4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0D7B4E" w:rsidRPr="0079445E" w:rsidRDefault="00F47452" w:rsidP="000D7B4E">
            <w:pPr>
              <w:rPr>
                <w:sz w:val="20"/>
                <w:szCs w:val="20"/>
              </w:rPr>
            </w:pPr>
            <w:r>
              <w:rPr>
                <w:sz w:val="22"/>
                <w:szCs w:val="22"/>
              </w:rPr>
              <w:t>Индивидуальный предприниматель Печеницын Иван Валерьевич</w:t>
            </w:r>
          </w:p>
          <w:p w:rsidR="000D7B4E" w:rsidRPr="0079445E" w:rsidRDefault="0079445E" w:rsidP="00F47452">
            <w:pPr>
              <w:rPr>
                <w:color w:val="000000"/>
                <w:sz w:val="20"/>
                <w:szCs w:val="20"/>
                <w:shd w:val="clear" w:color="auto" w:fill="FFFFFF"/>
              </w:rPr>
            </w:pPr>
            <w:r w:rsidRPr="0079445E">
              <w:rPr>
                <w:sz w:val="20"/>
                <w:szCs w:val="20"/>
              </w:rPr>
              <w:t xml:space="preserve">ИНН </w:t>
            </w:r>
            <w:r w:rsidR="00F47452">
              <w:rPr>
                <w:sz w:val="20"/>
                <w:szCs w:val="20"/>
              </w:rPr>
              <w:t>381298515700</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CC23BC" w:rsidRDefault="00CC23BC" w:rsidP="00B8322C">
      <w:pPr>
        <w:jc w:val="right"/>
        <w:rPr>
          <w:b/>
          <w:bCs/>
          <w:sz w:val="20"/>
          <w:szCs w:val="20"/>
        </w:rPr>
      </w:pPr>
    </w:p>
    <w:p w:rsidR="00F47452" w:rsidRDefault="00F47452" w:rsidP="00B8322C">
      <w:pPr>
        <w:jc w:val="right"/>
        <w:rPr>
          <w:b/>
          <w:bCs/>
          <w:sz w:val="20"/>
          <w:szCs w:val="20"/>
        </w:rPr>
      </w:pPr>
    </w:p>
    <w:p w:rsidR="00F47452" w:rsidRDefault="00F47452" w:rsidP="00B8322C">
      <w:pPr>
        <w:jc w:val="right"/>
        <w:rPr>
          <w:b/>
          <w:bCs/>
          <w:sz w:val="20"/>
          <w:szCs w:val="20"/>
        </w:rPr>
      </w:pPr>
    </w:p>
    <w:p w:rsidR="00F47452" w:rsidRDefault="00F47452"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3B1E58" w:rsidP="00733429">
      <w:pPr>
        <w:jc w:val="right"/>
        <w:rPr>
          <w:b/>
          <w:bCs/>
          <w:sz w:val="20"/>
          <w:szCs w:val="20"/>
        </w:rPr>
      </w:pPr>
      <w:r w:rsidRPr="00C578DF">
        <w:rPr>
          <w:b/>
          <w:kern w:val="32"/>
          <w:sz w:val="20"/>
          <w:szCs w:val="20"/>
        </w:rPr>
        <w:t>на</w:t>
      </w:r>
      <w:r w:rsidR="00F47452">
        <w:rPr>
          <w:b/>
          <w:sz w:val="20"/>
          <w:szCs w:val="20"/>
        </w:rPr>
        <w:t xml:space="preserve">оказание услуг </w:t>
      </w:r>
      <w:r w:rsidR="00BD10E7">
        <w:rPr>
          <w:b/>
          <w:sz w:val="20"/>
          <w:szCs w:val="20"/>
        </w:rPr>
        <w:t xml:space="preserve"> по техническому обслуживанию и ремонту автотранспортных средств</w:t>
      </w:r>
      <w:r w:rsidR="00694F14" w:rsidRPr="00C578DF">
        <w:rPr>
          <w:b/>
          <w:kern w:val="32"/>
          <w:sz w:val="20"/>
          <w:szCs w:val="20"/>
        </w:rPr>
        <w:t xml:space="preserve">№ </w:t>
      </w:r>
      <w:r w:rsidR="00BD10E7">
        <w:rPr>
          <w:b/>
          <w:kern w:val="32"/>
          <w:sz w:val="20"/>
          <w:szCs w:val="20"/>
        </w:rPr>
        <w:t>351-21н</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Pr="00C578DF" w:rsidRDefault="00937DBB" w:rsidP="000E4C5A">
      <w:pPr>
        <w:jc w:val="center"/>
        <w:rPr>
          <w:b/>
          <w:bCs/>
          <w:sz w:val="20"/>
          <w:szCs w:val="20"/>
        </w:rPr>
      </w:pPr>
    </w:p>
    <w:p w:rsidR="00F47452" w:rsidRDefault="00F47452" w:rsidP="00F47452">
      <w:pPr>
        <w:jc w:val="center"/>
        <w:rPr>
          <w:b/>
          <w:bCs/>
          <w:sz w:val="20"/>
          <w:szCs w:val="20"/>
        </w:rPr>
      </w:pPr>
      <w:r>
        <w:rPr>
          <w:b/>
          <w:bCs/>
          <w:sz w:val="20"/>
          <w:szCs w:val="20"/>
        </w:rPr>
        <w:t xml:space="preserve">Техническое задание </w:t>
      </w:r>
    </w:p>
    <w:p w:rsidR="00F47452" w:rsidRDefault="00F47452" w:rsidP="00F47452">
      <w:pPr>
        <w:pStyle w:val="13"/>
        <w:jc w:val="center"/>
        <w:rPr>
          <w:b/>
          <w:bCs/>
          <w:sz w:val="20"/>
        </w:rPr>
      </w:pPr>
      <w:r>
        <w:rPr>
          <w:b/>
          <w:bCs/>
          <w:sz w:val="20"/>
        </w:rPr>
        <w:t xml:space="preserve">на оказание услуг </w:t>
      </w:r>
      <w:r w:rsidR="00BD10E7">
        <w:rPr>
          <w:b/>
          <w:bCs/>
          <w:sz w:val="20"/>
        </w:rPr>
        <w:t xml:space="preserve"> по техническому обслуживанию и ремонту автотранспортных средств</w:t>
      </w:r>
    </w:p>
    <w:tbl>
      <w:tblPr>
        <w:tblW w:w="5000" w:type="pct"/>
        <w:tblLook w:val="04A0"/>
      </w:tblPr>
      <w:tblGrid>
        <w:gridCol w:w="503"/>
        <w:gridCol w:w="2012"/>
        <w:gridCol w:w="4382"/>
        <w:gridCol w:w="891"/>
        <w:gridCol w:w="750"/>
        <w:gridCol w:w="1883"/>
      </w:tblGrid>
      <w:tr w:rsidR="00586F15" w:rsidRPr="005A07FA" w:rsidTr="00336B6B">
        <w:trPr>
          <w:trHeight w:val="889"/>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6F15" w:rsidRPr="000C6EB2" w:rsidRDefault="00586F15" w:rsidP="00336B6B">
            <w:pPr>
              <w:jc w:val="center"/>
              <w:rPr>
                <w:b/>
                <w:color w:val="000000"/>
                <w:sz w:val="20"/>
                <w:szCs w:val="20"/>
              </w:rPr>
            </w:pPr>
            <w:r w:rsidRPr="000C6EB2">
              <w:rPr>
                <w:b/>
                <w:color w:val="000000"/>
                <w:sz w:val="20"/>
                <w:szCs w:val="20"/>
              </w:rPr>
              <w:t>№ п/п</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6F15" w:rsidRPr="000C6EB2" w:rsidRDefault="00586F15" w:rsidP="00336B6B">
            <w:pPr>
              <w:jc w:val="center"/>
              <w:rPr>
                <w:b/>
                <w:color w:val="000000"/>
                <w:sz w:val="20"/>
                <w:szCs w:val="20"/>
              </w:rPr>
            </w:pPr>
            <w:r w:rsidRPr="000C6EB2">
              <w:rPr>
                <w:b/>
                <w:sz w:val="20"/>
                <w:szCs w:val="20"/>
              </w:rPr>
              <w:t>Наименование поставляемого товара, работ, услуг</w:t>
            </w:r>
          </w:p>
        </w:tc>
        <w:tc>
          <w:tcPr>
            <w:tcW w:w="2148" w:type="pct"/>
            <w:tcBorders>
              <w:top w:val="single" w:sz="4" w:space="0" w:color="auto"/>
              <w:left w:val="nil"/>
              <w:bottom w:val="single" w:sz="4" w:space="0" w:color="auto"/>
              <w:right w:val="single" w:sz="4" w:space="0" w:color="auto"/>
            </w:tcBorders>
            <w:vAlign w:val="center"/>
          </w:tcPr>
          <w:p w:rsidR="00586F15" w:rsidRPr="006D76B6" w:rsidRDefault="00586F15" w:rsidP="00336B6B">
            <w:pPr>
              <w:jc w:val="center"/>
              <w:rPr>
                <w:b/>
                <w:color w:val="000000"/>
                <w:sz w:val="20"/>
                <w:szCs w:val="20"/>
              </w:rPr>
            </w:pPr>
            <w:r w:rsidRPr="006D76B6">
              <w:rPr>
                <w:b/>
                <w:color w:val="000000"/>
                <w:sz w:val="20"/>
                <w:szCs w:val="20"/>
              </w:rPr>
              <w:t>Характеристика товара, работ, услуг</w:t>
            </w:r>
          </w:p>
        </w:tc>
        <w:tc>
          <w:tcPr>
            <w:tcW w:w="473" w:type="pct"/>
            <w:tcBorders>
              <w:top w:val="single" w:sz="4" w:space="0" w:color="auto"/>
              <w:left w:val="single" w:sz="4" w:space="0" w:color="auto"/>
              <w:bottom w:val="single" w:sz="4" w:space="0" w:color="auto"/>
              <w:right w:val="single" w:sz="4" w:space="0" w:color="auto"/>
            </w:tcBorders>
            <w:vAlign w:val="center"/>
          </w:tcPr>
          <w:p w:rsidR="00586F15" w:rsidRPr="000C6EB2" w:rsidRDefault="00586F15" w:rsidP="00336B6B">
            <w:pPr>
              <w:jc w:val="center"/>
              <w:rPr>
                <w:b/>
                <w:color w:val="000000"/>
                <w:sz w:val="20"/>
                <w:szCs w:val="20"/>
              </w:rPr>
            </w:pPr>
            <w:r w:rsidRPr="000C6EB2">
              <w:rPr>
                <w:b/>
                <w:color w:val="000000"/>
                <w:sz w:val="20"/>
                <w:szCs w:val="20"/>
              </w:rPr>
              <w:t>Ед. изм.</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586F15" w:rsidRPr="000C6EB2" w:rsidRDefault="00586F15" w:rsidP="00336B6B">
            <w:pPr>
              <w:jc w:val="center"/>
              <w:rPr>
                <w:b/>
                <w:color w:val="000000"/>
                <w:sz w:val="20"/>
                <w:szCs w:val="20"/>
              </w:rPr>
            </w:pPr>
            <w:r w:rsidRPr="000C6EB2">
              <w:rPr>
                <w:b/>
                <w:color w:val="000000"/>
                <w:sz w:val="20"/>
                <w:szCs w:val="20"/>
              </w:rPr>
              <w:t>Кол-во</w:t>
            </w:r>
            <w:r>
              <w:rPr>
                <w:b/>
                <w:color w:val="000000"/>
                <w:sz w:val="20"/>
                <w:szCs w:val="20"/>
              </w:rPr>
              <w:t>*</w:t>
            </w:r>
          </w:p>
        </w:tc>
        <w:tc>
          <w:tcPr>
            <w:tcW w:w="676" w:type="pct"/>
            <w:tcBorders>
              <w:top w:val="single" w:sz="4" w:space="0" w:color="auto"/>
              <w:left w:val="nil"/>
              <w:bottom w:val="single" w:sz="4" w:space="0" w:color="auto"/>
              <w:right w:val="single" w:sz="4" w:space="0" w:color="auto"/>
            </w:tcBorders>
            <w:vAlign w:val="center"/>
          </w:tcPr>
          <w:p w:rsidR="00586F15" w:rsidRPr="005A07FA" w:rsidRDefault="00586F15" w:rsidP="00336B6B">
            <w:pPr>
              <w:jc w:val="center"/>
              <w:rPr>
                <w:b/>
                <w:color w:val="000000"/>
                <w:sz w:val="20"/>
                <w:szCs w:val="20"/>
              </w:rPr>
            </w:pPr>
            <w:r w:rsidRPr="005A07FA">
              <w:rPr>
                <w:b/>
                <w:color w:val="000000"/>
                <w:sz w:val="20"/>
                <w:szCs w:val="20"/>
              </w:rPr>
              <w:t>Начальная (максимальная)*</w:t>
            </w:r>
            <w:r>
              <w:rPr>
                <w:b/>
                <w:color w:val="000000"/>
                <w:sz w:val="20"/>
                <w:szCs w:val="20"/>
              </w:rPr>
              <w:t>*</w:t>
            </w:r>
            <w:r w:rsidRPr="005A07FA">
              <w:rPr>
                <w:b/>
                <w:color w:val="000000"/>
                <w:sz w:val="20"/>
                <w:szCs w:val="20"/>
              </w:rPr>
              <w:t xml:space="preserve"> цена за ед., руб.</w:t>
            </w:r>
          </w:p>
        </w:tc>
      </w:tr>
      <w:tr w:rsidR="00586F15" w:rsidRPr="005A07FA" w:rsidTr="00336B6B">
        <w:trPr>
          <w:trHeight w:val="245"/>
        </w:trPr>
        <w:tc>
          <w:tcPr>
            <w:tcW w:w="276" w:type="pct"/>
            <w:vMerge w:val="restart"/>
            <w:tcBorders>
              <w:top w:val="single" w:sz="4" w:space="0" w:color="auto"/>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r w:rsidRPr="00745578">
              <w:rPr>
                <w:color w:val="000000"/>
                <w:sz w:val="20"/>
                <w:szCs w:val="20"/>
              </w:rPr>
              <w:t>1</w:t>
            </w:r>
          </w:p>
        </w:tc>
        <w:tc>
          <w:tcPr>
            <w:tcW w:w="1022" w:type="pct"/>
            <w:vMerge w:val="restart"/>
            <w:tcBorders>
              <w:top w:val="single" w:sz="4" w:space="0" w:color="auto"/>
              <w:left w:val="single" w:sz="4" w:space="0" w:color="auto"/>
              <w:right w:val="single" w:sz="4" w:space="0" w:color="auto"/>
            </w:tcBorders>
            <w:shd w:val="clear" w:color="auto" w:fill="auto"/>
          </w:tcPr>
          <w:p w:rsidR="00586F15" w:rsidRPr="00745578" w:rsidRDefault="00586F15" w:rsidP="00336B6B">
            <w:pPr>
              <w:shd w:val="clear" w:color="auto" w:fill="FFFFFF"/>
              <w:rPr>
                <w:color w:val="000000"/>
                <w:sz w:val="20"/>
                <w:szCs w:val="20"/>
              </w:rPr>
            </w:pPr>
            <w:r>
              <w:rPr>
                <w:sz w:val="20"/>
                <w:szCs w:val="20"/>
              </w:rPr>
              <w:t>Оказание по техническому обслуживанию и ремонту автотранспортных средств</w:t>
            </w:r>
          </w:p>
        </w:tc>
        <w:tc>
          <w:tcPr>
            <w:tcW w:w="2148" w:type="pct"/>
            <w:tcBorders>
              <w:top w:val="single" w:sz="4" w:space="0" w:color="auto"/>
              <w:left w:val="nil"/>
              <w:bottom w:val="single" w:sz="4" w:space="0" w:color="auto"/>
              <w:right w:val="single" w:sz="4" w:space="0" w:color="auto"/>
            </w:tcBorders>
          </w:tcPr>
          <w:p w:rsidR="00586F15" w:rsidRPr="00FB45CE" w:rsidRDefault="00586F15" w:rsidP="00336B6B">
            <w:pPr>
              <w:rPr>
                <w:sz w:val="20"/>
                <w:szCs w:val="20"/>
                <w:shd w:val="clear" w:color="auto" w:fill="FFFFFF"/>
              </w:rPr>
            </w:pPr>
            <w:r>
              <w:rPr>
                <w:sz w:val="20"/>
                <w:szCs w:val="20"/>
                <w:shd w:val="clear" w:color="auto" w:fill="FFFFFF"/>
              </w:rPr>
              <w:t>Схождение/развал</w:t>
            </w:r>
          </w:p>
        </w:tc>
        <w:tc>
          <w:tcPr>
            <w:tcW w:w="473" w:type="pct"/>
            <w:tcBorders>
              <w:top w:val="single" w:sz="4" w:space="0" w:color="auto"/>
              <w:left w:val="single" w:sz="4" w:space="0" w:color="auto"/>
              <w:bottom w:val="single" w:sz="4" w:space="0" w:color="auto"/>
              <w:right w:val="single" w:sz="4" w:space="0" w:color="auto"/>
            </w:tcBorders>
          </w:tcPr>
          <w:p w:rsidR="00586F15" w:rsidRPr="00205EB5" w:rsidRDefault="00586F15" w:rsidP="00336B6B">
            <w:pPr>
              <w:jc w:val="center"/>
              <w:rPr>
                <w:bCs/>
                <w:sz w:val="20"/>
                <w:szCs w:val="20"/>
              </w:rP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500,00</w:t>
            </w:r>
          </w:p>
        </w:tc>
      </w:tr>
      <w:tr w:rsidR="00586F15" w:rsidRPr="005A07FA" w:rsidTr="00336B6B">
        <w:trPr>
          <w:trHeight w:val="280"/>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Диагностика подвески</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20</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200,00</w:t>
            </w:r>
          </w:p>
        </w:tc>
      </w:tr>
      <w:tr w:rsidR="00586F15" w:rsidRPr="005A07FA" w:rsidTr="00336B6B">
        <w:trPr>
          <w:trHeight w:val="258"/>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Диагностика ДВС</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300,00</w:t>
            </w:r>
          </w:p>
        </w:tc>
      </w:tr>
      <w:tr w:rsidR="00586F15" w:rsidRPr="005A07FA" w:rsidTr="00336B6B">
        <w:trPr>
          <w:trHeight w:val="291"/>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Ремонт ветрового стекла</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200,00</w:t>
            </w:r>
          </w:p>
        </w:tc>
      </w:tr>
      <w:tr w:rsidR="00586F15" w:rsidRPr="005A07FA" w:rsidTr="00336B6B">
        <w:trPr>
          <w:trHeight w:val="256"/>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Замена задних колодок</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800,00</w:t>
            </w:r>
          </w:p>
        </w:tc>
      </w:tr>
      <w:tr w:rsidR="00586F15" w:rsidRPr="005A07FA" w:rsidTr="00336B6B">
        <w:trPr>
          <w:trHeight w:val="290"/>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Замена передних колодок</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500,00</w:t>
            </w:r>
          </w:p>
        </w:tc>
      </w:tr>
      <w:tr w:rsidR="00586F15" w:rsidRPr="005A07FA" w:rsidTr="00336B6B">
        <w:trPr>
          <w:trHeight w:val="254"/>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Замена ремня ГРМ</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3000,00</w:t>
            </w:r>
          </w:p>
        </w:tc>
      </w:tr>
      <w:tr w:rsidR="00586F15" w:rsidRPr="005A07FA" w:rsidTr="00336B6B">
        <w:trPr>
          <w:trHeight w:val="287"/>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Замена масла с заменой фильтра</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300,00</w:t>
            </w:r>
          </w:p>
        </w:tc>
      </w:tr>
      <w:tr w:rsidR="00586F15" w:rsidRPr="005A07FA" w:rsidTr="00336B6B">
        <w:trPr>
          <w:trHeight w:val="265"/>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Замена диска и корзины сцепления</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4000,00</w:t>
            </w:r>
          </w:p>
        </w:tc>
      </w:tr>
      <w:tr w:rsidR="00586F15" w:rsidRPr="005A07FA" w:rsidTr="00336B6B">
        <w:trPr>
          <w:trHeight w:val="286"/>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Замена передних стоек</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600,00</w:t>
            </w:r>
          </w:p>
        </w:tc>
      </w:tr>
      <w:tr w:rsidR="00586F15" w:rsidRPr="005A07FA" w:rsidTr="00336B6B">
        <w:trPr>
          <w:trHeight w:val="261"/>
        </w:trPr>
        <w:tc>
          <w:tcPr>
            <w:tcW w:w="276" w:type="pct"/>
            <w:vMerge/>
            <w:tcBorders>
              <w:left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Замена задних стоек</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650,00</w:t>
            </w:r>
          </w:p>
        </w:tc>
      </w:tr>
      <w:tr w:rsidR="00586F15" w:rsidRPr="005A07FA" w:rsidTr="00336B6B">
        <w:trPr>
          <w:trHeight w:val="280"/>
        </w:trPr>
        <w:tc>
          <w:tcPr>
            <w:tcW w:w="276" w:type="pct"/>
            <w:vMerge/>
            <w:tcBorders>
              <w:left w:val="single" w:sz="4" w:space="0" w:color="auto"/>
              <w:bottom w:val="single" w:sz="4" w:space="0" w:color="auto"/>
              <w:right w:val="single" w:sz="4" w:space="0" w:color="auto"/>
            </w:tcBorders>
            <w:shd w:val="clear" w:color="auto" w:fill="auto"/>
          </w:tcPr>
          <w:p w:rsidR="00586F15" w:rsidRPr="00745578" w:rsidRDefault="00586F15" w:rsidP="00336B6B">
            <w:pPr>
              <w:jc w:val="center"/>
              <w:rPr>
                <w:color w:val="000000"/>
                <w:sz w:val="20"/>
                <w:szCs w:val="20"/>
              </w:rPr>
            </w:pPr>
          </w:p>
        </w:tc>
        <w:tc>
          <w:tcPr>
            <w:tcW w:w="1022" w:type="pct"/>
            <w:vMerge/>
            <w:tcBorders>
              <w:left w:val="single" w:sz="4" w:space="0" w:color="auto"/>
              <w:bottom w:val="single" w:sz="4" w:space="0" w:color="auto"/>
              <w:right w:val="single" w:sz="4" w:space="0" w:color="auto"/>
            </w:tcBorders>
            <w:shd w:val="clear" w:color="auto" w:fill="auto"/>
          </w:tcPr>
          <w:p w:rsidR="00586F15" w:rsidRDefault="00586F15" w:rsidP="00336B6B">
            <w:pPr>
              <w:shd w:val="clear" w:color="auto" w:fill="FFFFFF"/>
              <w:rPr>
                <w:sz w:val="20"/>
                <w:szCs w:val="20"/>
              </w:rPr>
            </w:pPr>
          </w:p>
        </w:tc>
        <w:tc>
          <w:tcPr>
            <w:tcW w:w="2148" w:type="pct"/>
            <w:tcBorders>
              <w:top w:val="single" w:sz="4" w:space="0" w:color="auto"/>
              <w:left w:val="nil"/>
              <w:bottom w:val="single" w:sz="4" w:space="0" w:color="auto"/>
              <w:right w:val="single" w:sz="4" w:space="0" w:color="auto"/>
            </w:tcBorders>
          </w:tcPr>
          <w:p w:rsidR="00586F15" w:rsidRPr="00412E64" w:rsidRDefault="00586F15" w:rsidP="00336B6B">
            <w:pPr>
              <w:rPr>
                <w:sz w:val="20"/>
                <w:szCs w:val="20"/>
                <w:shd w:val="clear" w:color="auto" w:fill="FFFFFF"/>
              </w:rPr>
            </w:pPr>
            <w:r>
              <w:rPr>
                <w:sz w:val="20"/>
                <w:szCs w:val="20"/>
                <w:shd w:val="clear" w:color="auto" w:fill="FFFFFF"/>
              </w:rPr>
              <w:t>Замена линек</w:t>
            </w:r>
          </w:p>
        </w:tc>
        <w:tc>
          <w:tcPr>
            <w:tcW w:w="473" w:type="pct"/>
            <w:tcBorders>
              <w:top w:val="single" w:sz="4" w:space="0" w:color="auto"/>
              <w:left w:val="single" w:sz="4" w:space="0" w:color="auto"/>
              <w:bottom w:val="single" w:sz="4" w:space="0" w:color="auto"/>
              <w:right w:val="single" w:sz="4" w:space="0" w:color="auto"/>
            </w:tcBorders>
          </w:tcPr>
          <w:p w:rsidR="00586F15" w:rsidRDefault="00586F15" w:rsidP="00336B6B">
            <w:pPr>
              <w:jc w:val="center"/>
            </w:pPr>
            <w:r>
              <w:rPr>
                <w:bCs/>
                <w:sz w:val="20"/>
                <w:szCs w:val="20"/>
              </w:rPr>
              <w:t>Усл. ед.</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86F15" w:rsidRPr="00205EB5" w:rsidRDefault="00586F15" w:rsidP="00336B6B">
            <w:pPr>
              <w:jc w:val="center"/>
              <w:rPr>
                <w:sz w:val="20"/>
                <w:szCs w:val="20"/>
              </w:rPr>
            </w:pPr>
            <w:r>
              <w:rPr>
                <w:sz w:val="20"/>
                <w:szCs w:val="20"/>
              </w:rPr>
              <w:t>15</w:t>
            </w:r>
          </w:p>
        </w:tc>
        <w:tc>
          <w:tcPr>
            <w:tcW w:w="676" w:type="pct"/>
            <w:tcBorders>
              <w:top w:val="single" w:sz="4" w:space="0" w:color="auto"/>
              <w:left w:val="nil"/>
              <w:bottom w:val="single" w:sz="4" w:space="0" w:color="auto"/>
              <w:right w:val="single" w:sz="4" w:space="0" w:color="auto"/>
            </w:tcBorders>
          </w:tcPr>
          <w:p w:rsidR="00586F15" w:rsidRPr="00745578" w:rsidRDefault="00586F15" w:rsidP="00336B6B">
            <w:pPr>
              <w:jc w:val="center"/>
              <w:rPr>
                <w:color w:val="000000"/>
                <w:sz w:val="20"/>
                <w:szCs w:val="20"/>
              </w:rPr>
            </w:pPr>
            <w:r>
              <w:rPr>
                <w:color w:val="000000"/>
                <w:sz w:val="20"/>
                <w:szCs w:val="20"/>
              </w:rPr>
              <w:t>200,00</w:t>
            </w:r>
          </w:p>
        </w:tc>
      </w:tr>
    </w:tbl>
    <w:p w:rsidR="00586F15" w:rsidRDefault="00586F15" w:rsidP="00586F15">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86F15" w:rsidRPr="00DD6178" w:rsidRDefault="00586F15" w:rsidP="00586F15">
      <w:pPr>
        <w:ind w:firstLine="567"/>
        <w:jc w:val="both"/>
        <w:rPr>
          <w:rFonts w:ascii="Cuprum" w:hAnsi="Cuprum" w:cs="Tahoma"/>
          <w:bCs/>
          <w:sz w:val="20"/>
          <w:szCs w:val="20"/>
        </w:rPr>
      </w:pPr>
    </w:p>
    <w:p w:rsidR="00586F15" w:rsidRDefault="00586F15" w:rsidP="00586F15">
      <w:pPr>
        <w:pStyle w:val="af0"/>
        <w:numPr>
          <w:ilvl w:val="0"/>
          <w:numId w:val="3"/>
        </w:numPr>
        <w:tabs>
          <w:tab w:val="left" w:pos="284"/>
        </w:tabs>
        <w:ind w:left="0" w:firstLine="0"/>
        <w:jc w:val="both"/>
        <w:rPr>
          <w:b w:val="0"/>
          <w:bCs/>
          <w:sz w:val="18"/>
          <w:szCs w:val="18"/>
        </w:rPr>
      </w:pPr>
      <w:r>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Pr>
          <w:b w:val="0"/>
          <w:bCs/>
          <w:sz w:val="18"/>
          <w:szCs w:val="18"/>
        </w:rPr>
        <w:t>.</w:t>
      </w:r>
    </w:p>
    <w:p w:rsidR="00586F15" w:rsidRDefault="00586F15" w:rsidP="00586F15">
      <w:pPr>
        <w:pStyle w:val="af0"/>
        <w:numPr>
          <w:ilvl w:val="0"/>
          <w:numId w:val="3"/>
        </w:numPr>
        <w:tabs>
          <w:tab w:val="left" w:pos="284"/>
        </w:tabs>
        <w:ind w:left="0" w:firstLine="0"/>
        <w:jc w:val="both"/>
        <w:rPr>
          <w:b w:val="0"/>
          <w:bCs/>
          <w:sz w:val="18"/>
          <w:szCs w:val="18"/>
        </w:rPr>
      </w:pPr>
      <w:r>
        <w:rPr>
          <w:b w:val="0"/>
          <w:sz w:val="18"/>
          <w:szCs w:val="18"/>
        </w:rPr>
        <w:t>Исполнитель несет ответственность за сохранность автомобиля, переданного на период оказания услуг.</w:t>
      </w:r>
    </w:p>
    <w:p w:rsidR="00586F15" w:rsidRDefault="00586F15" w:rsidP="00586F15">
      <w:pPr>
        <w:pStyle w:val="ae"/>
        <w:numPr>
          <w:ilvl w:val="0"/>
          <w:numId w:val="3"/>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color w:val="000000"/>
          <w:sz w:val="18"/>
          <w:szCs w:val="18"/>
        </w:rPr>
        <w:t xml:space="preserve">Запасные части должны быть </w:t>
      </w:r>
      <w:r>
        <w:rPr>
          <w:rFonts w:ascii="Times New Roman" w:hAnsi="Times New Roman" w:cs="Times New Roman"/>
          <w:bCs/>
          <w:sz w:val="18"/>
          <w:szCs w:val="18"/>
        </w:rPr>
        <w:t>новыми (не бывшими в употреблении, в ремонте, в том числе не восстановленные, у которых не была осуществлена замена составных частей, не были восстановлены потребительские свойства)</w:t>
      </w:r>
      <w:r>
        <w:rPr>
          <w:rFonts w:ascii="Times New Roman" w:hAnsi="Times New Roman" w:cs="Times New Roman"/>
          <w:color w:val="000000"/>
          <w:sz w:val="18"/>
          <w:szCs w:val="18"/>
        </w:rPr>
        <w:t>.</w:t>
      </w:r>
      <w:r>
        <w:rPr>
          <w:rFonts w:ascii="Times New Roman" w:hAnsi="Times New Roman" w:cs="Times New Roman"/>
          <w:bCs/>
          <w:sz w:val="18"/>
          <w:szCs w:val="18"/>
        </w:rPr>
        <w:t xml:space="preserve"> Исполнитель гарантирует, что запасные части являются серийно выпускаемыми, отражающими все последние модификации конструкций и материалов. Исполнитель гарантирует, что запасные части не будут иметь дефектов, связанных с конструкцией, материалами или функционированием при штатном использовании.</w:t>
      </w:r>
    </w:p>
    <w:p w:rsidR="00586F15" w:rsidRDefault="00586F15" w:rsidP="00586F15">
      <w:pPr>
        <w:pStyle w:val="ae"/>
        <w:numPr>
          <w:ilvl w:val="0"/>
          <w:numId w:val="3"/>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Гарантия на замененные запчасти должна составлять не менее 6 (шести) месяцев.</w:t>
      </w:r>
    </w:p>
    <w:p w:rsidR="00586F15" w:rsidRDefault="00586F15" w:rsidP="00586F15">
      <w:pPr>
        <w:pStyle w:val="ae"/>
        <w:numPr>
          <w:ilvl w:val="0"/>
          <w:numId w:val="3"/>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Исполнитель обязан обеспечить гарантийный ремонт в течение гарантийного срока эксплуатации, при выявлении недостатков безвозмездно устранить их своими силами и за свой счет в сроки, установленные Заказчиком и Исполнителем.</w:t>
      </w:r>
    </w:p>
    <w:p w:rsidR="00586F15" w:rsidRDefault="00586F15" w:rsidP="00586F15">
      <w:pPr>
        <w:pStyle w:val="ae"/>
        <w:numPr>
          <w:ilvl w:val="0"/>
          <w:numId w:val="3"/>
        </w:numPr>
        <w:tabs>
          <w:tab w:val="left" w:pos="284"/>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При необходимости устранения дефектов гарантийный срок продлевается на срок неработоспособности автомобиля.</w:t>
      </w:r>
    </w:p>
    <w:p w:rsidR="00586F15" w:rsidRDefault="00586F15" w:rsidP="00586F15">
      <w:pPr>
        <w:pStyle w:val="af0"/>
        <w:numPr>
          <w:ilvl w:val="0"/>
          <w:numId w:val="3"/>
        </w:numPr>
        <w:tabs>
          <w:tab w:val="left" w:pos="284"/>
        </w:tabs>
        <w:ind w:left="0" w:firstLine="0"/>
        <w:jc w:val="both"/>
        <w:rPr>
          <w:b w:val="0"/>
          <w:bCs/>
          <w:sz w:val="18"/>
          <w:szCs w:val="18"/>
        </w:rPr>
      </w:pPr>
      <w:r>
        <w:rPr>
          <w:b w:val="0"/>
          <w:bCs/>
          <w:sz w:val="18"/>
          <w:szCs w:val="18"/>
        </w:rPr>
        <w:t xml:space="preserve">Исполнитель оказывает услуги с использованием своих расходных материалов, инструментов и оборудования. </w:t>
      </w:r>
    </w:p>
    <w:p w:rsidR="0079445E" w:rsidRPr="007C7AC6" w:rsidRDefault="00586F15" w:rsidP="00586F15">
      <w:pPr>
        <w:jc w:val="both"/>
        <w:rPr>
          <w:b/>
          <w:bCs/>
          <w:sz w:val="20"/>
          <w:szCs w:val="20"/>
        </w:rPr>
      </w:pPr>
      <w:r>
        <w:rPr>
          <w:sz w:val="18"/>
          <w:szCs w:val="18"/>
          <w:lang w:eastAsia="ar-SA"/>
        </w:rPr>
        <w:t xml:space="preserve">При оказании услуг Исполнитель гарантирует </w:t>
      </w:r>
      <w:r>
        <w:rPr>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72039C" w:rsidRPr="009944AC" w:rsidRDefault="0072039C" w:rsidP="00163196">
      <w:pPr>
        <w:pStyle w:val="13"/>
        <w:ind w:left="0" w:firstLine="0"/>
        <w:jc w:val="center"/>
        <w:rPr>
          <w:b/>
          <w:bCs/>
          <w:szCs w:val="18"/>
        </w:rPr>
      </w:pPr>
      <w:bookmarkStart w:id="0" w:name="_GoBack"/>
      <w:bookmarkEnd w:id="0"/>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B6B" w:rsidRDefault="00336B6B" w:rsidP="00ED57EB">
      <w:r>
        <w:separator/>
      </w:r>
    </w:p>
  </w:endnote>
  <w:endnote w:type="continuationSeparator" w:id="1">
    <w:p w:rsidR="00336B6B" w:rsidRDefault="00336B6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36B6B" w:rsidRDefault="00336B6B">
        <w:pPr>
          <w:pStyle w:val="af8"/>
          <w:jc w:val="right"/>
        </w:pPr>
        <w:fldSimple w:instr=" PAGE   \* MERGEFORMAT ">
          <w:r w:rsidR="00AC3545">
            <w:rPr>
              <w:noProof/>
            </w:rPr>
            <w:t>1</w:t>
          </w:r>
        </w:fldSimple>
      </w:p>
    </w:sdtContent>
  </w:sdt>
  <w:p w:rsidR="00336B6B" w:rsidRDefault="00336B6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B6B" w:rsidRDefault="00336B6B" w:rsidP="00ED57EB">
      <w:r>
        <w:separator/>
      </w:r>
    </w:p>
  </w:footnote>
  <w:footnote w:type="continuationSeparator" w:id="1">
    <w:p w:rsidR="00336B6B" w:rsidRDefault="00336B6B"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0F9"/>
    <w:multiLevelType w:val="hybridMultilevel"/>
    <w:tmpl w:val="03DC6368"/>
    <w:lvl w:ilvl="0" w:tplc="EAF2006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D7B4E"/>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26B7"/>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36B6B"/>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15"/>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2404"/>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00D3"/>
    <w:rsid w:val="00743107"/>
    <w:rsid w:val="007432AA"/>
    <w:rsid w:val="007462AF"/>
    <w:rsid w:val="0074743F"/>
    <w:rsid w:val="00750785"/>
    <w:rsid w:val="00752167"/>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45E"/>
    <w:rsid w:val="00794A91"/>
    <w:rsid w:val="007960C3"/>
    <w:rsid w:val="00796E7C"/>
    <w:rsid w:val="007A0391"/>
    <w:rsid w:val="007A5858"/>
    <w:rsid w:val="007B04F0"/>
    <w:rsid w:val="007B0C25"/>
    <w:rsid w:val="007B37BF"/>
    <w:rsid w:val="007B3A01"/>
    <w:rsid w:val="007B46E8"/>
    <w:rsid w:val="007B5284"/>
    <w:rsid w:val="007B54DA"/>
    <w:rsid w:val="007B5AAA"/>
    <w:rsid w:val="007B5E42"/>
    <w:rsid w:val="007C0DB3"/>
    <w:rsid w:val="007C46E0"/>
    <w:rsid w:val="007C76E1"/>
    <w:rsid w:val="007D0A37"/>
    <w:rsid w:val="007D16DF"/>
    <w:rsid w:val="007D40BA"/>
    <w:rsid w:val="007D44E8"/>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50F7"/>
    <w:rsid w:val="00AB57C4"/>
    <w:rsid w:val="00AB636C"/>
    <w:rsid w:val="00AC3545"/>
    <w:rsid w:val="00AC4F0C"/>
    <w:rsid w:val="00AC58B1"/>
    <w:rsid w:val="00AC5F95"/>
    <w:rsid w:val="00AC7851"/>
    <w:rsid w:val="00AC7A88"/>
    <w:rsid w:val="00AD1844"/>
    <w:rsid w:val="00AD2186"/>
    <w:rsid w:val="00AD3FF9"/>
    <w:rsid w:val="00AD5248"/>
    <w:rsid w:val="00AD5C85"/>
    <w:rsid w:val="00AD7CFB"/>
    <w:rsid w:val="00AE2F3C"/>
    <w:rsid w:val="00AE783F"/>
    <w:rsid w:val="00AE7FE3"/>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0E7"/>
    <w:rsid w:val="00BD116C"/>
    <w:rsid w:val="00BE09C9"/>
    <w:rsid w:val="00BE2A5F"/>
    <w:rsid w:val="00BE6FEF"/>
    <w:rsid w:val="00BF0399"/>
    <w:rsid w:val="00BF0434"/>
    <w:rsid w:val="00BF0545"/>
    <w:rsid w:val="00BF0858"/>
    <w:rsid w:val="00BF46BE"/>
    <w:rsid w:val="00BF6F6D"/>
    <w:rsid w:val="00C001E8"/>
    <w:rsid w:val="00C00275"/>
    <w:rsid w:val="00C01BAD"/>
    <w:rsid w:val="00C02648"/>
    <w:rsid w:val="00C03EEE"/>
    <w:rsid w:val="00C11D87"/>
    <w:rsid w:val="00C1259A"/>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23BC"/>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2CEA"/>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E7CEC"/>
    <w:rsid w:val="00EF0139"/>
    <w:rsid w:val="00EF04A1"/>
    <w:rsid w:val="00EF37E6"/>
    <w:rsid w:val="00EF43CC"/>
    <w:rsid w:val="00EF4DF9"/>
    <w:rsid w:val="00EF674A"/>
    <w:rsid w:val="00F00156"/>
    <w:rsid w:val="00F02FBE"/>
    <w:rsid w:val="00F0388D"/>
    <w:rsid w:val="00F10196"/>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4745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locked/>
    <w:rsid w:val="00CC23BC"/>
    <w:rPr>
      <w:b/>
      <w:bCs/>
      <w:spacing w:val="3"/>
      <w:sz w:val="21"/>
      <w:szCs w:val="21"/>
      <w:shd w:val="clear" w:color="auto" w:fill="FFFFFF"/>
    </w:rPr>
  </w:style>
  <w:style w:type="paragraph" w:customStyle="1" w:styleId="Bodytext20">
    <w:name w:val="Body text (2)"/>
    <w:basedOn w:val="a"/>
    <w:link w:val="Bodytext2"/>
    <w:rsid w:val="00CC23BC"/>
    <w:pPr>
      <w:widowControl w:val="0"/>
      <w:shd w:val="clear" w:color="auto" w:fill="FFFFFF"/>
      <w:spacing w:before="240" w:line="269" w:lineRule="exact"/>
    </w:pPr>
    <w:rPr>
      <w:b/>
      <w:bCs/>
      <w:spacing w:val="3"/>
      <w:sz w:val="21"/>
      <w:szCs w:val="21"/>
    </w:rPr>
  </w:style>
  <w:style w:type="character" w:customStyle="1" w:styleId="25">
    <w:name w:val="Основной текст2"/>
    <w:rsid w:val="00CC23B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2"/>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2"/>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locked/>
    <w:rsid w:val="00CC23BC"/>
    <w:rPr>
      <w:b/>
      <w:bCs/>
      <w:spacing w:val="3"/>
      <w:sz w:val="21"/>
      <w:szCs w:val="21"/>
      <w:shd w:val="clear" w:color="auto" w:fill="FFFFFF"/>
    </w:rPr>
  </w:style>
  <w:style w:type="paragraph" w:customStyle="1" w:styleId="Bodytext20">
    <w:name w:val="Body text (2)"/>
    <w:basedOn w:val="a"/>
    <w:link w:val="Bodytext2"/>
    <w:rsid w:val="00CC23BC"/>
    <w:pPr>
      <w:widowControl w:val="0"/>
      <w:shd w:val="clear" w:color="auto" w:fill="FFFFFF"/>
      <w:spacing w:before="240" w:line="269" w:lineRule="exact"/>
    </w:pPr>
    <w:rPr>
      <w:b/>
      <w:bCs/>
      <w:spacing w:val="3"/>
      <w:sz w:val="21"/>
      <w:szCs w:val="21"/>
    </w:rPr>
  </w:style>
  <w:style w:type="character" w:customStyle="1" w:styleId="25">
    <w:name w:val="Основной текст2"/>
    <w:rsid w:val="00CC23B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46F54-C3FB-41A9-9979-7F1A3EF8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1724</Words>
  <Characters>12612</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14308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2021-12-23T12:54:00Z</cp:lastPrinted>
  <dcterms:created xsi:type="dcterms:W3CDTF">2022-03-25T03:18:00Z</dcterms:created>
  <dcterms:modified xsi:type="dcterms:W3CDTF">2022-03-25T05:07:00Z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