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01094">
        <w:rPr>
          <w:b/>
          <w:sz w:val="28"/>
          <w:szCs w:val="28"/>
        </w:rPr>
        <w:t>расходных материалов (сетки) для восстановительной хирургии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01094">
        <w:rPr>
          <w:b/>
          <w:kern w:val="32"/>
          <w:sz w:val="28"/>
          <w:szCs w:val="28"/>
        </w:rPr>
        <w:t>045-20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0BD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01094">
              <w:rPr>
                <w:bCs/>
                <w:sz w:val="20"/>
                <w:szCs w:val="20"/>
              </w:rPr>
              <w:t>расходных материалов (сетки) для восстановительной хирургии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01094" w:rsidP="00DC5959">
            <w:pPr>
              <w:autoSpaceDE w:val="0"/>
              <w:autoSpaceDN w:val="0"/>
              <w:adjustRightInd w:val="0"/>
              <w:rPr>
                <w:sz w:val="20"/>
                <w:szCs w:val="20"/>
                <w:highlight w:val="yellow"/>
              </w:rPr>
            </w:pPr>
            <w:r w:rsidRPr="00C01094">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DF03C3">
              <w:rPr>
                <w:sz w:val="20"/>
                <w:szCs w:val="20"/>
              </w:rPr>
              <w:t>9</w:t>
            </w:r>
            <w:r w:rsidR="00C0109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DF03C3">
              <w:rPr>
                <w:sz w:val="20"/>
                <w:szCs w:val="20"/>
              </w:rPr>
              <w:t>)</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01094" w:rsidP="00C01094">
            <w:pPr>
              <w:tabs>
                <w:tab w:val="left" w:pos="6022"/>
              </w:tabs>
              <w:ind w:right="72"/>
              <w:rPr>
                <w:sz w:val="20"/>
                <w:szCs w:val="20"/>
              </w:rPr>
            </w:pPr>
            <w:r>
              <w:rPr>
                <w:sz w:val="20"/>
                <w:szCs w:val="20"/>
              </w:rPr>
              <w:t>20 020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двадцать тысяч двадцать</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232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F03C3">
              <w:rPr>
                <w:b/>
                <w:sz w:val="20"/>
                <w:szCs w:val="20"/>
              </w:rPr>
              <w:t>1</w:t>
            </w:r>
            <w:r w:rsidR="0094232D">
              <w:rPr>
                <w:b/>
                <w:sz w:val="20"/>
                <w:szCs w:val="20"/>
              </w:rPr>
              <w:t>1</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94232D">
              <w:rPr>
                <w:b/>
                <w:sz w:val="20"/>
                <w:szCs w:val="20"/>
              </w:rPr>
              <w:t>9</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F03C3">
              <w:rPr>
                <w:sz w:val="20"/>
                <w:szCs w:val="20"/>
              </w:rPr>
              <w:t>1</w:t>
            </w:r>
            <w:r w:rsidR="0094232D">
              <w:rPr>
                <w:sz w:val="20"/>
                <w:szCs w:val="20"/>
              </w:rPr>
              <w:t>1</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232D">
            <w:pPr>
              <w:jc w:val="both"/>
              <w:rPr>
                <w:sz w:val="20"/>
                <w:szCs w:val="20"/>
              </w:rPr>
            </w:pPr>
            <w:r w:rsidRPr="00FE2446">
              <w:rPr>
                <w:bCs/>
                <w:sz w:val="20"/>
                <w:szCs w:val="20"/>
              </w:rPr>
              <w:t>«</w:t>
            </w:r>
            <w:r w:rsidR="007C7A98">
              <w:rPr>
                <w:bCs/>
                <w:sz w:val="20"/>
                <w:szCs w:val="20"/>
              </w:rPr>
              <w:t>1</w:t>
            </w:r>
            <w:r w:rsidR="0094232D">
              <w:rPr>
                <w:bCs/>
                <w:sz w:val="20"/>
                <w:szCs w:val="20"/>
              </w:rPr>
              <w:t>9</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01094" w:rsidP="007C0DB3">
            <w:pPr>
              <w:autoSpaceDE w:val="0"/>
              <w:autoSpaceDN w:val="0"/>
              <w:adjustRightInd w:val="0"/>
              <w:jc w:val="both"/>
              <w:outlineLvl w:val="1"/>
              <w:rPr>
                <w:sz w:val="20"/>
                <w:szCs w:val="20"/>
              </w:rPr>
            </w:pPr>
            <w:r>
              <w:rPr>
                <w:sz w:val="20"/>
                <w:szCs w:val="20"/>
              </w:rPr>
              <w:t>1 001</w:t>
            </w:r>
            <w:r w:rsidR="0094232D">
              <w:rPr>
                <w:sz w:val="20"/>
                <w:szCs w:val="20"/>
              </w:rPr>
              <w:t>,00</w:t>
            </w:r>
            <w:r w:rsidR="007C7A98">
              <w:rPr>
                <w:sz w:val="20"/>
                <w:szCs w:val="20"/>
              </w:rPr>
              <w:t xml:space="preserve"> </w:t>
            </w:r>
            <w:r w:rsidR="00A84ECD" w:rsidRPr="00FE2446">
              <w:rPr>
                <w:sz w:val="20"/>
                <w:szCs w:val="20"/>
              </w:rPr>
              <w:t>руб. (</w:t>
            </w:r>
            <w:r>
              <w:rPr>
                <w:sz w:val="20"/>
                <w:szCs w:val="20"/>
              </w:rPr>
              <w:t>одна тысяча один рубль</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232D">
            <w:pPr>
              <w:jc w:val="both"/>
              <w:rPr>
                <w:sz w:val="20"/>
                <w:szCs w:val="20"/>
              </w:rPr>
            </w:pPr>
            <w:r w:rsidRPr="00FE2446">
              <w:rPr>
                <w:sz w:val="20"/>
                <w:szCs w:val="20"/>
              </w:rPr>
              <w:t>«</w:t>
            </w:r>
            <w:r w:rsidR="007C7A98">
              <w:rPr>
                <w:sz w:val="20"/>
                <w:szCs w:val="20"/>
              </w:rPr>
              <w:t>1</w:t>
            </w:r>
            <w:r w:rsidR="0094232D">
              <w:rPr>
                <w:sz w:val="20"/>
                <w:szCs w:val="20"/>
              </w:rPr>
              <w:t>8</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94232D">
              <w:rPr>
                <w:b/>
                <w:sz w:val="20"/>
                <w:szCs w:val="20"/>
              </w:rPr>
              <w:t>9</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4232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94232D">
              <w:rPr>
                <w:b/>
                <w:sz w:val="20"/>
                <w:szCs w:val="20"/>
              </w:rPr>
              <w:t>9</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01094">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01094">
        <w:rPr>
          <w:b/>
          <w:kern w:val="32"/>
          <w:sz w:val="20"/>
          <w:szCs w:val="20"/>
        </w:rPr>
        <w:t>045-20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01094">
        <w:rPr>
          <w:b/>
          <w:bCs/>
          <w:sz w:val="20"/>
        </w:rPr>
        <w:t>расходных материалов (сетки) для восстановительной хирургии</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01094"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C01094" w:rsidRPr="009446D9" w:rsidRDefault="00C01094" w:rsidP="00C01094">
            <w:pPr>
              <w:rPr>
                <w:sz w:val="20"/>
                <w:szCs w:val="20"/>
                <w:lang w:eastAsia="en-US"/>
              </w:rPr>
            </w:pPr>
            <w:r w:rsidRPr="009446D9">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01094" w:rsidRPr="009446D9" w:rsidRDefault="00C01094" w:rsidP="00C01094">
            <w:pPr>
              <w:autoSpaceDE w:val="0"/>
              <w:autoSpaceDN w:val="0"/>
              <w:adjustRightInd w:val="0"/>
              <w:rPr>
                <w:color w:val="000000"/>
                <w:sz w:val="20"/>
                <w:szCs w:val="20"/>
                <w:lang w:eastAsia="en-US"/>
              </w:rPr>
            </w:pPr>
            <w:r w:rsidRPr="009446D9">
              <w:rPr>
                <w:sz w:val="20"/>
                <w:szCs w:val="20"/>
                <w:lang w:eastAsia="en-US"/>
              </w:rPr>
              <w:t xml:space="preserve">Эндопротез сетчатый полимерный полипропиленовый для восстановительной хирургии </w:t>
            </w:r>
            <w:r w:rsidRPr="009446D9">
              <w:rPr>
                <w:color w:val="000000"/>
                <w:sz w:val="20"/>
                <w:szCs w:val="20"/>
                <w:lang w:eastAsia="en-US"/>
              </w:rPr>
              <w:t>8 х 12 см</w:t>
            </w:r>
          </w:p>
          <w:p w:rsidR="00C01094" w:rsidRPr="009446D9" w:rsidRDefault="00C01094" w:rsidP="00C01094">
            <w:pPr>
              <w:tabs>
                <w:tab w:val="left" w:pos="1095"/>
              </w:tabs>
              <w:rPr>
                <w:sz w:val="20"/>
                <w:szCs w:val="20"/>
                <w:lang w:eastAsia="en-US"/>
              </w:rPr>
            </w:pPr>
            <w:r>
              <w:rPr>
                <w:color w:val="000000"/>
                <w:sz w:val="20"/>
                <w:szCs w:val="20"/>
                <w:lang w:eastAsia="en-US"/>
              </w:rPr>
              <w:t>(</w:t>
            </w:r>
            <w:r w:rsidRPr="009446D9">
              <w:rPr>
                <w:color w:val="000000"/>
                <w:sz w:val="20"/>
                <w:szCs w:val="20"/>
                <w:lang w:eastAsia="en-US"/>
              </w:rPr>
              <w:t>легкий)</w:t>
            </w:r>
          </w:p>
        </w:tc>
        <w:tc>
          <w:tcPr>
            <w:tcW w:w="5103" w:type="dxa"/>
            <w:tcBorders>
              <w:top w:val="single" w:sz="4" w:space="0" w:color="auto"/>
              <w:left w:val="nil"/>
              <w:bottom w:val="single" w:sz="4" w:space="0" w:color="auto"/>
              <w:right w:val="single" w:sz="4" w:space="0" w:color="auto"/>
            </w:tcBorders>
          </w:tcPr>
          <w:p w:rsidR="00C01094" w:rsidRPr="0087781C" w:rsidRDefault="00C01094" w:rsidP="00C01094">
            <w:pPr>
              <w:rPr>
                <w:color w:val="000000"/>
                <w:sz w:val="19"/>
                <w:szCs w:val="19"/>
                <w:lang w:eastAsia="en-US"/>
              </w:rPr>
            </w:pPr>
            <w:r w:rsidRPr="0087781C">
              <w:rPr>
                <w:color w:val="000000"/>
                <w:sz w:val="19"/>
                <w:szCs w:val="19"/>
                <w:lang w:eastAsia="en-US"/>
              </w:rPr>
              <w:t xml:space="preserve"> Эндопротез - сетка полимерная для восстановительной хирургии (для хирургического лечения грыж) должен соответствовать требованиям ГОСТ Р ИСО 14630-2017. Сетчатый эндопротез из биологически инертной нерассасывающейся полипропиленовой мононити. </w:t>
            </w:r>
          </w:p>
          <w:p w:rsidR="00C01094" w:rsidRPr="0087781C" w:rsidRDefault="00C01094" w:rsidP="00C01094">
            <w:pPr>
              <w:rPr>
                <w:color w:val="000000"/>
                <w:sz w:val="19"/>
                <w:szCs w:val="19"/>
                <w:lang w:eastAsia="en-US"/>
              </w:rPr>
            </w:pPr>
            <w:r w:rsidRPr="0087781C">
              <w:rPr>
                <w:color w:val="000000"/>
                <w:sz w:val="19"/>
                <w:szCs w:val="19"/>
                <w:lang w:eastAsia="en-US"/>
              </w:rPr>
              <w:t xml:space="preserve">Структура эндопротеза должна обеспечивать эндопротезу нераспускаемость краев  при разрезании, стабильность размеров и ограниченную растяжимость во всех направлениях. </w:t>
            </w:r>
          </w:p>
          <w:p w:rsidR="00C01094" w:rsidRPr="0087781C" w:rsidRDefault="00C01094" w:rsidP="00C01094">
            <w:pPr>
              <w:rPr>
                <w:color w:val="000000"/>
                <w:sz w:val="19"/>
                <w:szCs w:val="19"/>
                <w:lang w:eastAsia="en-US"/>
              </w:rPr>
            </w:pPr>
            <w:r w:rsidRPr="0087781C">
              <w:rPr>
                <w:color w:val="000000"/>
                <w:sz w:val="19"/>
                <w:szCs w:val="19"/>
                <w:lang w:eastAsia="en-US"/>
              </w:rPr>
              <w:t xml:space="preserve">Двойная стерильная упаковка в светонепроницаемом конверте. </w:t>
            </w:r>
          </w:p>
          <w:p w:rsidR="00C01094" w:rsidRPr="0087781C" w:rsidRDefault="00C01094" w:rsidP="00C01094">
            <w:pPr>
              <w:rPr>
                <w:color w:val="000000"/>
                <w:sz w:val="19"/>
                <w:szCs w:val="19"/>
                <w:lang w:eastAsia="en-US"/>
              </w:rPr>
            </w:pPr>
            <w:r w:rsidRPr="0087781C">
              <w:rPr>
                <w:color w:val="000000"/>
                <w:sz w:val="19"/>
                <w:szCs w:val="19"/>
                <w:lang w:eastAsia="en-US"/>
              </w:rPr>
              <w:t>Медицинское изделие в соответствии с ГОСТ 2.601-2013 должна сопровождаться эксплуатационной документацией инструкцией (информацией) на русском языке по применению, необходимой для безопасного использования.</w:t>
            </w:r>
          </w:p>
          <w:p w:rsidR="00C01094" w:rsidRPr="0087781C" w:rsidRDefault="00C01094" w:rsidP="00C01094">
            <w:pPr>
              <w:rPr>
                <w:color w:val="000000"/>
                <w:sz w:val="19"/>
                <w:szCs w:val="19"/>
                <w:lang w:eastAsia="en-US"/>
              </w:rPr>
            </w:pPr>
            <w:r w:rsidRPr="0087781C">
              <w:rPr>
                <w:color w:val="000000"/>
                <w:sz w:val="19"/>
                <w:szCs w:val="19"/>
                <w:lang w:eastAsia="en-US"/>
              </w:rPr>
              <w:t>Размер 8 х 12 см (</w:t>
            </w:r>
            <w:r w:rsidRPr="0087781C">
              <w:rPr>
                <w:color w:val="000000"/>
                <w:sz w:val="19"/>
                <w:szCs w:val="19"/>
                <w:u w:val="single"/>
                <w:lang w:eastAsia="en-US"/>
              </w:rPr>
              <w:t>+</w:t>
            </w:r>
            <w:r w:rsidRPr="0087781C">
              <w:rPr>
                <w:color w:val="000000"/>
                <w:sz w:val="19"/>
                <w:szCs w:val="19"/>
                <w:lang w:eastAsia="en-US"/>
              </w:rPr>
              <w:t>1) см</w:t>
            </w:r>
          </w:p>
          <w:p w:rsidR="00C01094" w:rsidRPr="0087781C" w:rsidRDefault="00C01094" w:rsidP="00C01094">
            <w:pPr>
              <w:rPr>
                <w:color w:val="000000"/>
                <w:sz w:val="19"/>
                <w:szCs w:val="19"/>
                <w:lang w:eastAsia="en-US"/>
              </w:rPr>
            </w:pPr>
            <w:r w:rsidRPr="0087781C">
              <w:rPr>
                <w:color w:val="000000"/>
                <w:sz w:val="19"/>
                <w:szCs w:val="19"/>
                <w:lang w:eastAsia="en-US"/>
              </w:rPr>
              <w:t>Цвет: бело-синий, чередование бело-синих направительных полос для лучшей визуализации при позиционировании и удобства раскроя сетки под грыжевые ворота.</w:t>
            </w:r>
          </w:p>
          <w:p w:rsidR="00C01094" w:rsidRPr="0087781C" w:rsidRDefault="00C01094" w:rsidP="00C01094">
            <w:pPr>
              <w:rPr>
                <w:color w:val="000000"/>
                <w:sz w:val="19"/>
                <w:szCs w:val="19"/>
                <w:lang w:eastAsia="en-US"/>
              </w:rPr>
            </w:pPr>
            <w:r w:rsidRPr="0087781C">
              <w:rPr>
                <w:color w:val="000000"/>
                <w:sz w:val="19"/>
                <w:szCs w:val="19"/>
                <w:lang w:eastAsia="en-US"/>
              </w:rPr>
              <w:t>Диаметр мононити 0,09 мм</w:t>
            </w:r>
          </w:p>
          <w:p w:rsidR="00C01094" w:rsidRPr="0087781C" w:rsidRDefault="00C01094" w:rsidP="00C01094">
            <w:pPr>
              <w:rPr>
                <w:color w:val="000000"/>
                <w:sz w:val="19"/>
                <w:szCs w:val="19"/>
                <w:lang w:eastAsia="en-US"/>
              </w:rPr>
            </w:pPr>
            <w:r w:rsidRPr="0087781C">
              <w:rPr>
                <w:color w:val="000000"/>
                <w:sz w:val="19"/>
                <w:szCs w:val="19"/>
                <w:lang w:eastAsia="en-US"/>
              </w:rPr>
              <w:t>Толщина 0,3-0,4 мм</w:t>
            </w:r>
          </w:p>
          <w:p w:rsidR="00C01094" w:rsidRPr="0087781C" w:rsidRDefault="00C01094" w:rsidP="00C01094">
            <w:pPr>
              <w:rPr>
                <w:color w:val="000000"/>
                <w:sz w:val="19"/>
                <w:szCs w:val="19"/>
                <w:lang w:eastAsia="en-US"/>
              </w:rPr>
            </w:pPr>
            <w:r w:rsidRPr="0087781C">
              <w:rPr>
                <w:color w:val="000000"/>
                <w:sz w:val="19"/>
                <w:szCs w:val="19"/>
                <w:lang w:eastAsia="en-US"/>
              </w:rPr>
              <w:t>Объемная пористость: 85-90 %</w:t>
            </w:r>
          </w:p>
          <w:p w:rsidR="00C01094" w:rsidRPr="0087781C" w:rsidRDefault="00C01094" w:rsidP="00C01094">
            <w:pPr>
              <w:rPr>
                <w:color w:val="000000"/>
                <w:sz w:val="19"/>
                <w:szCs w:val="19"/>
                <w:lang w:eastAsia="en-US"/>
              </w:rPr>
            </w:pPr>
            <w:r w:rsidRPr="0087781C">
              <w:rPr>
                <w:color w:val="000000"/>
                <w:sz w:val="19"/>
                <w:szCs w:val="19"/>
                <w:lang w:eastAsia="en-US"/>
              </w:rPr>
              <w:t>Поверхностная плотность: 38-45 г/м2</w:t>
            </w:r>
          </w:p>
          <w:p w:rsidR="00C01094" w:rsidRPr="0087781C" w:rsidRDefault="00C01094" w:rsidP="00C01094">
            <w:pPr>
              <w:rPr>
                <w:color w:val="000000"/>
                <w:sz w:val="19"/>
                <w:szCs w:val="19"/>
                <w:lang w:eastAsia="en-US"/>
              </w:rPr>
            </w:pPr>
            <w:r w:rsidRPr="0087781C">
              <w:rPr>
                <w:color w:val="000000"/>
                <w:sz w:val="19"/>
                <w:szCs w:val="19"/>
                <w:lang w:eastAsia="en-US"/>
              </w:rPr>
              <w:t>Разрывная нагрузка вдоль петельного столбика – не менее 120 Н</w:t>
            </w:r>
          </w:p>
          <w:p w:rsidR="00C01094" w:rsidRPr="0087781C" w:rsidRDefault="00C01094" w:rsidP="00C01094">
            <w:pPr>
              <w:rPr>
                <w:color w:val="000000"/>
                <w:sz w:val="19"/>
                <w:szCs w:val="19"/>
                <w:lang w:eastAsia="en-US"/>
              </w:rPr>
            </w:pPr>
            <w:r w:rsidRPr="0087781C">
              <w:rPr>
                <w:color w:val="000000"/>
                <w:sz w:val="19"/>
                <w:szCs w:val="19"/>
                <w:lang w:eastAsia="en-US"/>
              </w:rPr>
              <w:t>Разрывная нагрузка вдоль петельного ряда – не менее 120 Н</w:t>
            </w:r>
          </w:p>
          <w:p w:rsidR="00C01094" w:rsidRPr="0087781C" w:rsidRDefault="00C01094" w:rsidP="00C01094">
            <w:pPr>
              <w:rPr>
                <w:color w:val="000000"/>
                <w:sz w:val="19"/>
                <w:szCs w:val="19"/>
                <w:lang w:eastAsia="en-US"/>
              </w:rPr>
            </w:pPr>
            <w:r w:rsidRPr="0087781C">
              <w:rPr>
                <w:color w:val="000000"/>
                <w:sz w:val="19"/>
                <w:szCs w:val="19"/>
                <w:lang w:eastAsia="en-US"/>
              </w:rPr>
              <w:t>Разрывное удлинение вдоль петельного столбика – не более 120 %</w:t>
            </w:r>
          </w:p>
          <w:p w:rsidR="00C01094" w:rsidRPr="0087781C" w:rsidRDefault="00C01094" w:rsidP="00C01094">
            <w:pPr>
              <w:rPr>
                <w:color w:val="000000"/>
                <w:sz w:val="19"/>
                <w:szCs w:val="19"/>
                <w:lang w:eastAsia="en-US"/>
              </w:rPr>
            </w:pPr>
            <w:r w:rsidRPr="0087781C">
              <w:rPr>
                <w:color w:val="000000"/>
                <w:sz w:val="19"/>
                <w:szCs w:val="19"/>
                <w:lang w:eastAsia="en-US"/>
              </w:rPr>
              <w:t>Разрывное удлинение вдоль петельного ряда – не более 120 %</w:t>
            </w:r>
          </w:p>
          <w:p w:rsidR="00C01094" w:rsidRPr="0087781C" w:rsidRDefault="00C01094" w:rsidP="00C01094">
            <w:pPr>
              <w:rPr>
                <w:color w:val="000000"/>
                <w:sz w:val="19"/>
                <w:szCs w:val="19"/>
                <w:lang w:eastAsia="en-US"/>
              </w:rPr>
            </w:pPr>
            <w:r w:rsidRPr="0087781C">
              <w:rPr>
                <w:color w:val="000000"/>
                <w:sz w:val="19"/>
                <w:szCs w:val="19"/>
                <w:lang w:eastAsia="en-US"/>
              </w:rPr>
              <w:t>Упакованы во внутренний пакет полимерно-бумажный или из ламинированной алюминиевой фольги и во внешний полимерно-бумажный пакет.</w:t>
            </w:r>
          </w:p>
          <w:p w:rsidR="00C01094" w:rsidRPr="0087781C" w:rsidRDefault="00C01094" w:rsidP="00C01094">
            <w:pPr>
              <w:rPr>
                <w:color w:val="000000"/>
                <w:sz w:val="19"/>
                <w:szCs w:val="19"/>
                <w:lang w:eastAsia="en-US"/>
              </w:rPr>
            </w:pPr>
            <w:r w:rsidRPr="0087781C">
              <w:rPr>
                <w:color w:val="000000"/>
                <w:sz w:val="19"/>
                <w:szCs w:val="19"/>
                <w:lang w:eastAsia="en-US"/>
              </w:rPr>
              <w:t>Стерилизация: оксидом этилена (ЕО)</w:t>
            </w:r>
          </w:p>
          <w:p w:rsidR="00C01094" w:rsidRPr="0087781C" w:rsidRDefault="00C01094" w:rsidP="00C01094">
            <w:pPr>
              <w:rPr>
                <w:color w:val="000000"/>
                <w:sz w:val="19"/>
                <w:szCs w:val="19"/>
                <w:lang w:eastAsia="en-US"/>
              </w:rPr>
            </w:pPr>
            <w:r w:rsidRPr="0087781C">
              <w:rPr>
                <w:color w:val="000000"/>
                <w:sz w:val="19"/>
                <w:szCs w:val="19"/>
                <w:lang w:eastAsia="en-US"/>
              </w:rPr>
              <w:t>Срок годности не менее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1094" w:rsidRPr="009446D9" w:rsidRDefault="00C01094" w:rsidP="00C01094">
            <w:pPr>
              <w:jc w:val="center"/>
              <w:rPr>
                <w:sz w:val="20"/>
                <w:szCs w:val="20"/>
                <w:lang w:eastAsia="en-US"/>
              </w:rPr>
            </w:pPr>
            <w:r w:rsidRPr="009446D9">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01094" w:rsidRPr="009446D9" w:rsidRDefault="00C01094" w:rsidP="00C01094">
            <w:pPr>
              <w:jc w:val="center"/>
              <w:rPr>
                <w:sz w:val="20"/>
                <w:szCs w:val="20"/>
                <w:lang w:eastAsia="en-US"/>
              </w:rPr>
            </w:pPr>
            <w:r w:rsidRPr="009446D9">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C01094" w:rsidRPr="00C814F0" w:rsidRDefault="00C01094" w:rsidP="004E22D8">
            <w:pPr>
              <w:jc w:val="center"/>
              <w:rPr>
                <w:sz w:val="20"/>
                <w:szCs w:val="20"/>
              </w:rPr>
            </w:pPr>
            <w:r>
              <w:rPr>
                <w:sz w:val="20"/>
                <w:szCs w:val="20"/>
              </w:rPr>
              <w:t>1001,00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01094">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01094">
        <w:rPr>
          <w:b/>
          <w:kern w:val="32"/>
          <w:sz w:val="20"/>
          <w:szCs w:val="20"/>
        </w:rPr>
        <w:t>045-20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01094">
        <w:rPr>
          <w:sz w:val="19"/>
          <w:szCs w:val="19"/>
        </w:rPr>
        <w:t>045-20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01094">
        <w:rPr>
          <w:b/>
          <w:bCs/>
          <w:sz w:val="19"/>
          <w:szCs w:val="19"/>
        </w:rPr>
        <w:t>расходных материалов (сетки) для восстановительной хирургии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01094">
        <w:rPr>
          <w:rFonts w:ascii="Times New Roman" w:hAnsi="Times New Roman" w:cs="Times New Roman"/>
          <w:bCs/>
          <w:sz w:val="19"/>
          <w:szCs w:val="19"/>
        </w:rPr>
        <w:t>расходных материалов (сетки) для восстановительной хирургии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3355CA" w:rsidRPr="003355CA">
        <w:rPr>
          <w:sz w:val="19"/>
          <w:szCs w:val="19"/>
        </w:rPr>
        <w:t>)</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01094">
        <w:rPr>
          <w:sz w:val="20"/>
          <w:szCs w:val="20"/>
        </w:rPr>
        <w:t>045-20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01094">
        <w:rPr>
          <w:b/>
          <w:sz w:val="20"/>
          <w:szCs w:val="20"/>
        </w:rPr>
        <w:t>расходных материалов (сетки) для восстановительной хирургии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01094">
        <w:rPr>
          <w:b/>
          <w:kern w:val="32"/>
          <w:sz w:val="20"/>
          <w:szCs w:val="20"/>
        </w:rPr>
        <w:t>045-20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01094">
        <w:rPr>
          <w:bCs/>
          <w:sz w:val="20"/>
          <w:szCs w:val="20"/>
        </w:rPr>
        <w:t>расходных материалов (сетки) для восстановительной хирургии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01094">
        <w:rPr>
          <w:bCs/>
          <w:sz w:val="20"/>
          <w:szCs w:val="20"/>
        </w:rPr>
        <w:t>расходных материалов (сетки) для восстановительной хирургии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01094">
        <w:rPr>
          <w:bCs/>
          <w:sz w:val="20"/>
          <w:szCs w:val="20"/>
        </w:rPr>
        <w:t>расходных материалов (сетки) для восстановительной хирургии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01094">
        <w:rPr>
          <w:bCs/>
          <w:sz w:val="20"/>
          <w:szCs w:val="20"/>
        </w:rPr>
        <w:t>расходных материалов (сетки) для восстановительной хирургии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89" w:rsidRDefault="001C0789" w:rsidP="00ED57EB">
      <w:r>
        <w:separator/>
      </w:r>
    </w:p>
  </w:endnote>
  <w:endnote w:type="continuationSeparator" w:id="1">
    <w:p w:rsidR="001C0789" w:rsidRDefault="001C0789" w:rsidP="00ED57EB">
      <w:r>
        <w:continuationSeparator/>
      </w:r>
    </w:p>
  </w:endnote>
  <w:endnote w:id="2">
    <w:p w:rsidR="00C01094" w:rsidRDefault="00C01094" w:rsidP="00C2608E">
      <w:pPr>
        <w:pStyle w:val="afc"/>
        <w:jc w:val="both"/>
      </w:pPr>
    </w:p>
  </w:endnote>
  <w:endnote w:id="3">
    <w:p w:rsidR="00C01094" w:rsidRDefault="00C01094" w:rsidP="00C2608E">
      <w:pPr>
        <w:pStyle w:val="afc"/>
      </w:pPr>
    </w:p>
  </w:endnote>
  <w:endnote w:id="4">
    <w:p w:rsidR="00C01094" w:rsidRDefault="00C0109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1094" w:rsidRDefault="00C01094">
        <w:pPr>
          <w:pStyle w:val="af7"/>
          <w:jc w:val="right"/>
        </w:pPr>
        <w:fldSimple w:instr=" PAGE   \* MERGEFORMAT ">
          <w:r w:rsidR="0087781C">
            <w:rPr>
              <w:noProof/>
            </w:rPr>
            <w:t>20</w:t>
          </w:r>
        </w:fldSimple>
      </w:p>
    </w:sdtContent>
  </w:sdt>
  <w:p w:rsidR="00C01094" w:rsidRDefault="00C0109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89" w:rsidRDefault="001C0789" w:rsidP="00ED57EB">
      <w:r>
        <w:separator/>
      </w:r>
    </w:p>
  </w:footnote>
  <w:footnote w:type="continuationSeparator" w:id="1">
    <w:p w:rsidR="001C0789" w:rsidRDefault="001C0789" w:rsidP="00ED57EB">
      <w:r>
        <w:continuationSeparator/>
      </w:r>
    </w:p>
  </w:footnote>
  <w:footnote w:id="2">
    <w:p w:rsidR="00C01094" w:rsidRPr="000C36EF" w:rsidRDefault="00C01094"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01094" w:rsidRPr="004B5113" w:rsidRDefault="00C0109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14291</Words>
  <Characters>81465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2019-12-17T02:34:00Z</cp:lastPrinted>
  <dcterms:created xsi:type="dcterms:W3CDTF">2020-02-11T00:46:00Z</dcterms:created>
  <dcterms:modified xsi:type="dcterms:W3CDTF">2020-02-11T00:57:00Z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