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243368">
        <w:rPr>
          <w:b/>
          <w:sz w:val="28"/>
          <w:szCs w:val="28"/>
        </w:rPr>
        <w:t xml:space="preserve">поставку лекарственных препаратов </w:t>
      </w:r>
      <w:r w:rsidR="00EA2CFF">
        <w:rPr>
          <w:b/>
          <w:sz w:val="28"/>
          <w:szCs w:val="28"/>
        </w:rPr>
        <w:t xml:space="preserve">для лечения </w:t>
      </w:r>
      <w:proofErr w:type="spellStart"/>
      <w:proofErr w:type="gramStart"/>
      <w:r w:rsidR="00EA2CFF">
        <w:rPr>
          <w:b/>
          <w:sz w:val="28"/>
          <w:szCs w:val="28"/>
        </w:rPr>
        <w:t>сердечно-сосудистой</w:t>
      </w:r>
      <w:proofErr w:type="spellEnd"/>
      <w:proofErr w:type="gramEnd"/>
      <w:r w:rsidR="00EA2CFF">
        <w:rPr>
          <w:b/>
          <w:sz w:val="28"/>
          <w:szCs w:val="28"/>
        </w:rPr>
        <w:t xml:space="preserve"> системы и обмена веществ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EA2CFF">
        <w:rPr>
          <w:b/>
          <w:kern w:val="32"/>
          <w:sz w:val="28"/>
          <w:szCs w:val="28"/>
        </w:rPr>
        <w:t>200-19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648EF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243368" w:rsidRPr="00243368">
              <w:rPr>
                <w:sz w:val="20"/>
                <w:szCs w:val="20"/>
              </w:rPr>
              <w:t>Поставка лекарственных</w:t>
            </w:r>
            <w:r w:rsidR="00243368">
              <w:rPr>
                <w:sz w:val="20"/>
                <w:szCs w:val="20"/>
              </w:rPr>
              <w:t xml:space="preserve"> препаратов </w:t>
            </w:r>
            <w:r w:rsidR="00EA2CFF">
              <w:rPr>
                <w:sz w:val="20"/>
                <w:szCs w:val="20"/>
              </w:rPr>
              <w:t xml:space="preserve">для лечения </w:t>
            </w:r>
            <w:proofErr w:type="spellStart"/>
            <w:proofErr w:type="gramStart"/>
            <w:r w:rsidR="00EA2CFF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="00EA2CFF">
              <w:rPr>
                <w:sz w:val="20"/>
                <w:szCs w:val="20"/>
              </w:rPr>
              <w:t xml:space="preserve"> системы и обмена веществ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EA2CFF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6A6C31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5D1039">
              <w:rPr>
                <w:sz w:val="20"/>
                <w:szCs w:val="20"/>
              </w:rPr>
              <w:t>21.20.10.140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862FA9" w:rsidP="00C869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86952">
              <w:rPr>
                <w:sz w:val="20"/>
                <w:szCs w:val="20"/>
              </w:rPr>
              <w:t>64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A2CFF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6A6C31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Поставка товара </w:t>
            </w:r>
            <w:r>
              <w:rPr>
                <w:sz w:val="20"/>
                <w:szCs w:val="20"/>
              </w:rPr>
              <w:t>осуществляется силами Поставщика партиями по заявкам Заказчика с момента подписания договора по 31.12.2020 г.</w:t>
            </w:r>
            <w:r w:rsidRPr="00FE2446">
              <w:rPr>
                <w:sz w:val="20"/>
                <w:szCs w:val="20"/>
              </w:rPr>
              <w:t xml:space="preserve"> по адресу: г. Иркутск, </w:t>
            </w:r>
            <w:r>
              <w:rPr>
                <w:sz w:val="20"/>
                <w:szCs w:val="20"/>
              </w:rPr>
              <w:t>ул. Ярославского, 300 (4 этаж)</w:t>
            </w:r>
            <w:r w:rsidRPr="00FE2446">
              <w:rPr>
                <w:sz w:val="20"/>
                <w:szCs w:val="20"/>
              </w:rPr>
              <w:t>.</w:t>
            </w:r>
          </w:p>
          <w:p w:rsidR="00EA2CFF" w:rsidRPr="00FE2446" w:rsidRDefault="00EA2CFF" w:rsidP="006A6C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E2446">
              <w:rPr>
                <w:sz w:val="20"/>
                <w:szCs w:val="20"/>
              </w:rPr>
              <w:t>оставка товара по заявке Заказчика осуществляется в течение 3 (трех) рабочих дней с момента подачи такой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A2CFF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FF" w:rsidRPr="00FE2446" w:rsidRDefault="00EA2CFF" w:rsidP="00EA2CFF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448 208,20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четыреста сорок восемь тысяч двести восемь рублей двадцать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в том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>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45" w:rsidRPr="00BF0545" w:rsidRDefault="00EA2CFF" w:rsidP="00BF0545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23 207,65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двадцать три тысячи двести семь рублей шестьдесят пять копеек</w:t>
            </w:r>
            <w:r w:rsidRPr="00FE2446">
              <w:rPr>
                <w:sz w:val="20"/>
                <w:szCs w:val="20"/>
              </w:rPr>
              <w:t>)</w:t>
            </w:r>
            <w:r w:rsidR="00862FA9">
              <w:rPr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16576A">
            <w:pPr>
              <w:pStyle w:val="ad"/>
              <w:numPr>
                <w:ilvl w:val="0"/>
                <w:numId w:val="26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e"/>
              <w:numPr>
                <w:ilvl w:val="0"/>
                <w:numId w:val="26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FE2446">
              <w:rPr>
                <w:sz w:val="20"/>
                <w:szCs w:val="20"/>
              </w:rPr>
              <w:t>а(</w:t>
            </w:r>
            <w:proofErr w:type="gramEnd"/>
            <w:r w:rsidRPr="00FE244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</w:t>
            </w:r>
            <w:r w:rsidRPr="00FE2446">
              <w:rPr>
                <w:sz w:val="20"/>
                <w:szCs w:val="20"/>
              </w:rPr>
              <w:lastRenderedPageBreak/>
              <w:t>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243368" w:rsidRDefault="00EA2CFF" w:rsidP="00520A09">
            <w:pPr>
              <w:rPr>
                <w:sz w:val="20"/>
                <w:szCs w:val="20"/>
              </w:rPr>
            </w:pPr>
            <w:r w:rsidRPr="007A2930">
              <w:rPr>
                <w:bCs/>
                <w:sz w:val="20"/>
                <w:szCs w:val="20"/>
              </w:rPr>
              <w:t>Общество с ограниченной ответственностью «МЕДФАРМ»</w:t>
            </w:r>
          </w:p>
          <w:p w:rsidR="00712BFE" w:rsidRPr="00243368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3368">
              <w:rPr>
                <w:sz w:val="20"/>
                <w:szCs w:val="20"/>
              </w:rPr>
              <w:t xml:space="preserve">ИНН </w:t>
            </w:r>
            <w:r w:rsidR="00EA2CFF" w:rsidRPr="007A2930">
              <w:rPr>
                <w:bCs/>
                <w:sz w:val="20"/>
                <w:szCs w:val="20"/>
              </w:rPr>
              <w:t>9701065838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243368">
        <w:rPr>
          <w:b/>
          <w:sz w:val="20"/>
          <w:szCs w:val="20"/>
        </w:rPr>
        <w:t xml:space="preserve">поставку </w:t>
      </w:r>
      <w:r w:rsidR="00243368">
        <w:rPr>
          <w:b/>
          <w:bCs/>
          <w:sz w:val="20"/>
          <w:szCs w:val="20"/>
        </w:rPr>
        <w:t xml:space="preserve">лекарственных препаратов </w:t>
      </w:r>
      <w:r w:rsidR="00EA2CFF">
        <w:rPr>
          <w:b/>
          <w:bCs/>
          <w:sz w:val="20"/>
          <w:szCs w:val="20"/>
        </w:rPr>
        <w:t xml:space="preserve">для лечения </w:t>
      </w:r>
      <w:proofErr w:type="spellStart"/>
      <w:proofErr w:type="gramStart"/>
      <w:r w:rsidR="00EA2CFF">
        <w:rPr>
          <w:b/>
          <w:bCs/>
          <w:sz w:val="20"/>
          <w:szCs w:val="20"/>
        </w:rPr>
        <w:t>сердечно-сосудистой</w:t>
      </w:r>
      <w:proofErr w:type="spellEnd"/>
      <w:proofErr w:type="gramEnd"/>
      <w:r w:rsidR="00EA2CFF">
        <w:rPr>
          <w:b/>
          <w:bCs/>
          <w:sz w:val="20"/>
          <w:szCs w:val="20"/>
        </w:rPr>
        <w:t xml:space="preserve"> системы и обмена веществ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EA2CFF">
        <w:rPr>
          <w:b/>
          <w:kern w:val="32"/>
          <w:sz w:val="20"/>
          <w:szCs w:val="20"/>
        </w:rPr>
        <w:t>200-19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243368">
        <w:rPr>
          <w:b/>
          <w:bCs/>
          <w:sz w:val="20"/>
        </w:rPr>
        <w:t xml:space="preserve">поставку лекарственных препаратов </w:t>
      </w:r>
      <w:r w:rsidR="00EA2CFF">
        <w:rPr>
          <w:b/>
          <w:bCs/>
          <w:sz w:val="20"/>
        </w:rPr>
        <w:t xml:space="preserve">для лечения </w:t>
      </w:r>
      <w:proofErr w:type="spellStart"/>
      <w:proofErr w:type="gramStart"/>
      <w:r w:rsidR="00EA2CFF">
        <w:rPr>
          <w:b/>
          <w:bCs/>
          <w:sz w:val="20"/>
        </w:rPr>
        <w:t>сердечно-сосудистой</w:t>
      </w:r>
      <w:proofErr w:type="spellEnd"/>
      <w:proofErr w:type="gramEnd"/>
      <w:r w:rsidR="00EA2CFF">
        <w:rPr>
          <w:b/>
          <w:bCs/>
          <w:sz w:val="20"/>
        </w:rPr>
        <w:t xml:space="preserve"> системы и обмена веществ</w:t>
      </w:r>
      <w:r w:rsidRPr="005A07FA">
        <w:rPr>
          <w:b/>
          <w:bCs/>
          <w:sz w:val="20"/>
        </w:rPr>
        <w:t xml:space="preserve"> </w:t>
      </w:r>
    </w:p>
    <w:tbl>
      <w:tblPr>
        <w:tblW w:w="10204" w:type="dxa"/>
        <w:tblInd w:w="108" w:type="dxa"/>
        <w:tblLayout w:type="fixed"/>
        <w:tblLook w:val="04A0"/>
      </w:tblPr>
      <w:tblGrid>
        <w:gridCol w:w="601"/>
        <w:gridCol w:w="2270"/>
        <w:gridCol w:w="5421"/>
        <w:gridCol w:w="956"/>
        <w:gridCol w:w="956"/>
      </w:tblGrid>
      <w:tr w:rsidR="00EA2CFF" w:rsidRPr="002C2883" w:rsidTr="006A6C31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F" w:rsidRPr="002C2883" w:rsidRDefault="00EA2CFF" w:rsidP="006A6C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F" w:rsidRPr="002C2883" w:rsidRDefault="00EA2CFF" w:rsidP="006A6C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CFF" w:rsidRPr="002C2883" w:rsidRDefault="00EA2CFF" w:rsidP="006A6C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CFF" w:rsidRPr="002C2883" w:rsidRDefault="00EA2CFF" w:rsidP="006A6C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FF" w:rsidRPr="002C2883" w:rsidRDefault="00EA2CFF" w:rsidP="006A6C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12,5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270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25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480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50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440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Лозартан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100 мг №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20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Аторвастатин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20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800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Аторвастатин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40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60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Урапидил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р-р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для в/</w:t>
            </w:r>
            <w:proofErr w:type="gramStart"/>
            <w:r w:rsidRPr="005D103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5D1039">
              <w:rPr>
                <w:color w:val="000000"/>
                <w:sz w:val="20"/>
                <w:szCs w:val="20"/>
              </w:rPr>
              <w:t xml:space="preserve"> введения 5мг/мл 5мл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6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Индапамид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>таблетки 2,5 мг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500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Индапамид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>таблетки пролонгированного действия   1,5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300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аргинин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5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40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5D1039">
              <w:rPr>
                <w:color w:val="000000"/>
                <w:sz w:val="20"/>
                <w:szCs w:val="20"/>
              </w:rPr>
              <w:t xml:space="preserve"> аргинин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r w:rsidRPr="005D1039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5D1039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1039">
              <w:rPr>
                <w:color w:val="000000"/>
                <w:sz w:val="20"/>
                <w:szCs w:val="20"/>
              </w:rPr>
              <w:t>/о 10 мг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90</w:t>
            </w:r>
          </w:p>
        </w:tc>
      </w:tr>
      <w:tr w:rsidR="00EA2CFF" w:rsidRPr="00620F33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620F33" w:rsidRDefault="00EA2CFF" w:rsidP="006A6C31">
            <w:pPr>
              <w:jc w:val="center"/>
              <w:rPr>
                <w:sz w:val="20"/>
                <w:szCs w:val="20"/>
              </w:rPr>
            </w:pPr>
            <w:r w:rsidRPr="00620F33">
              <w:rPr>
                <w:sz w:val="20"/>
                <w:szCs w:val="20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620F33" w:rsidRDefault="00EA2CFF" w:rsidP="006A6C31">
            <w:pPr>
              <w:rPr>
                <w:sz w:val="20"/>
                <w:szCs w:val="20"/>
              </w:rPr>
            </w:pPr>
            <w:proofErr w:type="spellStart"/>
            <w:r w:rsidRPr="00620F33">
              <w:rPr>
                <w:color w:val="000000"/>
                <w:sz w:val="20"/>
                <w:szCs w:val="20"/>
              </w:rPr>
              <w:t>Ивабрадин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620F33" w:rsidRDefault="00EA2CFF" w:rsidP="006A6C31">
            <w:pPr>
              <w:rPr>
                <w:color w:val="000000"/>
                <w:sz w:val="20"/>
                <w:szCs w:val="20"/>
              </w:rPr>
            </w:pPr>
            <w:r w:rsidRPr="00620F33">
              <w:rPr>
                <w:color w:val="000000"/>
                <w:sz w:val="20"/>
                <w:szCs w:val="20"/>
              </w:rPr>
              <w:t xml:space="preserve">таблетки </w:t>
            </w:r>
            <w:proofErr w:type="spellStart"/>
            <w:proofErr w:type="gramStart"/>
            <w:r w:rsidRPr="00620F3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20F33">
              <w:rPr>
                <w:color w:val="000000"/>
                <w:sz w:val="20"/>
                <w:szCs w:val="20"/>
              </w:rPr>
              <w:t>/о 5мг №56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620F33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620F33">
              <w:rPr>
                <w:sz w:val="20"/>
                <w:szCs w:val="20"/>
              </w:rPr>
              <w:t>Уп</w:t>
            </w:r>
            <w:proofErr w:type="spellEnd"/>
            <w:r w:rsidRPr="00620F3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620F33" w:rsidRDefault="00EA2CFF" w:rsidP="006A6C31">
            <w:pPr>
              <w:jc w:val="center"/>
              <w:rPr>
                <w:sz w:val="20"/>
                <w:szCs w:val="20"/>
              </w:rPr>
            </w:pPr>
            <w:r w:rsidRPr="00620F33">
              <w:rPr>
                <w:sz w:val="20"/>
                <w:szCs w:val="20"/>
              </w:rPr>
              <w:t>20</w:t>
            </w:r>
          </w:p>
        </w:tc>
      </w:tr>
      <w:tr w:rsidR="00EA2CFF" w:rsidRPr="005D1039" w:rsidTr="006A6C31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color w:val="000000"/>
                <w:sz w:val="20"/>
                <w:szCs w:val="20"/>
              </w:rPr>
              <w:t>Эналаприлат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CFF" w:rsidRPr="005D1039" w:rsidRDefault="00EA2CFF" w:rsidP="006A6C3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р-р</w:t>
            </w:r>
            <w:proofErr w:type="spellEnd"/>
            <w:r w:rsidRPr="005D1039">
              <w:rPr>
                <w:sz w:val="20"/>
                <w:szCs w:val="20"/>
              </w:rPr>
              <w:t xml:space="preserve"> для в/</w:t>
            </w:r>
            <w:proofErr w:type="gramStart"/>
            <w:r w:rsidRPr="005D1039">
              <w:rPr>
                <w:sz w:val="20"/>
                <w:szCs w:val="20"/>
              </w:rPr>
              <w:t>в</w:t>
            </w:r>
            <w:proofErr w:type="gramEnd"/>
            <w:r w:rsidRPr="005D1039">
              <w:rPr>
                <w:sz w:val="20"/>
                <w:szCs w:val="20"/>
              </w:rPr>
              <w:t xml:space="preserve"> введения 1.25 мг/мл 1мл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proofErr w:type="spellStart"/>
            <w:r w:rsidRPr="005D1039">
              <w:rPr>
                <w:sz w:val="20"/>
                <w:szCs w:val="20"/>
              </w:rPr>
              <w:t>Уп</w:t>
            </w:r>
            <w:proofErr w:type="spellEnd"/>
            <w:r w:rsidRPr="005D103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FF" w:rsidRPr="005D1039" w:rsidRDefault="00EA2CFF" w:rsidP="006A6C31">
            <w:pPr>
              <w:jc w:val="center"/>
              <w:rPr>
                <w:sz w:val="20"/>
                <w:szCs w:val="20"/>
              </w:rPr>
            </w:pPr>
            <w:r w:rsidRPr="005D1039">
              <w:rPr>
                <w:sz w:val="20"/>
                <w:szCs w:val="20"/>
              </w:rPr>
              <w:t>10</w:t>
            </w:r>
          </w:p>
        </w:tc>
      </w:tr>
    </w:tbl>
    <w:p w:rsidR="00243368" w:rsidRPr="00985D85" w:rsidRDefault="00243368" w:rsidP="00243368">
      <w:pPr>
        <w:pStyle w:val="13"/>
        <w:jc w:val="center"/>
        <w:rPr>
          <w:b/>
          <w:bCs/>
          <w:szCs w:val="18"/>
        </w:rPr>
      </w:pP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line="240" w:lineRule="auto"/>
        <w:ind w:right="125"/>
        <w:jc w:val="both"/>
        <w:rPr>
          <w:rFonts w:ascii="Times New Roman" w:hAnsi="Times New Roman"/>
          <w:sz w:val="20"/>
          <w:szCs w:val="20"/>
        </w:rPr>
      </w:pPr>
      <w:r w:rsidRPr="005A07FA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5A07FA"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243368" w:rsidRPr="005A07FA" w:rsidRDefault="00243368" w:rsidP="00243368">
      <w:pPr>
        <w:pStyle w:val="ae"/>
        <w:numPr>
          <w:ilvl w:val="0"/>
          <w:numId w:val="49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626262"/>
          <w:sz w:val="20"/>
          <w:szCs w:val="20"/>
          <w:lang w:eastAsia="ru-RU"/>
        </w:rPr>
      </w:pPr>
      <w:r w:rsidRPr="005A07FA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C8" w:rsidRDefault="00115DC8" w:rsidP="00ED57EB">
      <w:r>
        <w:separator/>
      </w:r>
    </w:p>
  </w:endnote>
  <w:endnote w:type="continuationSeparator" w:id="1">
    <w:p w:rsidR="00115DC8" w:rsidRDefault="00115DC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C648EF">
        <w:pPr>
          <w:pStyle w:val="af8"/>
          <w:jc w:val="right"/>
        </w:pPr>
        <w:fldSimple w:instr=" PAGE   \* MERGEFORMAT ">
          <w:r w:rsidR="00C86952">
            <w:rPr>
              <w:noProof/>
            </w:rPr>
            <w:t>3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C8" w:rsidRDefault="00115DC8" w:rsidP="00ED57EB">
      <w:r>
        <w:separator/>
      </w:r>
    </w:p>
  </w:footnote>
  <w:footnote w:type="continuationSeparator" w:id="1">
    <w:p w:rsidR="00115DC8" w:rsidRDefault="00115DC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6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2"/>
  </w:num>
  <w:num w:numId="5">
    <w:abstractNumId w:val="25"/>
  </w:num>
  <w:num w:numId="6">
    <w:abstractNumId w:val="32"/>
  </w:num>
  <w:num w:numId="7">
    <w:abstractNumId w:val="26"/>
  </w:num>
  <w:num w:numId="8">
    <w:abstractNumId w:val="18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19"/>
  </w:num>
  <w:num w:numId="17">
    <w:abstractNumId w:val="13"/>
  </w:num>
  <w:num w:numId="18">
    <w:abstractNumId w:val="43"/>
  </w:num>
  <w:num w:numId="19">
    <w:abstractNumId w:val="4"/>
  </w:num>
  <w:num w:numId="20">
    <w:abstractNumId w:val="35"/>
  </w:num>
  <w:num w:numId="21">
    <w:abstractNumId w:val="21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2"/>
  </w:num>
  <w:num w:numId="28">
    <w:abstractNumId w:val="44"/>
  </w:num>
  <w:num w:numId="29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3"/>
  </w:num>
  <w:num w:numId="33">
    <w:abstractNumId w:val="14"/>
  </w:num>
  <w:num w:numId="34">
    <w:abstractNumId w:val="37"/>
  </w:num>
  <w:num w:numId="35">
    <w:abstractNumId w:val="17"/>
  </w:num>
  <w:num w:numId="36">
    <w:abstractNumId w:val="0"/>
  </w:num>
  <w:num w:numId="37">
    <w:abstractNumId w:val="24"/>
  </w:num>
  <w:num w:numId="38">
    <w:abstractNumId w:val="36"/>
  </w:num>
  <w:num w:numId="39">
    <w:abstractNumId w:val="9"/>
  </w:num>
  <w:num w:numId="40">
    <w:abstractNumId w:val="20"/>
  </w:num>
  <w:num w:numId="41">
    <w:abstractNumId w:val="15"/>
  </w:num>
  <w:num w:numId="42">
    <w:abstractNumId w:val="27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0A03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55F3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48EF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86952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2CF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1576</Words>
  <Characters>11182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12733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Козлов</cp:lastModifiedBy>
  <cp:revision>4</cp:revision>
  <cp:lastPrinted>2019-10-30T07:23:00Z</cp:lastPrinted>
  <dcterms:created xsi:type="dcterms:W3CDTF">2019-10-30T07:12:00Z</dcterms:created>
  <dcterms:modified xsi:type="dcterms:W3CDTF">2019-12-17T03:09:00Z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