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314168">
        <w:rPr>
          <w:b/>
          <w:sz w:val="28"/>
          <w:szCs w:val="28"/>
        </w:rPr>
        <w:t>оказание услуг по проверке эффективности работы стерилизационного и дезинфекционного оборудования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314168">
        <w:rPr>
          <w:b/>
          <w:kern w:val="32"/>
          <w:sz w:val="28"/>
          <w:szCs w:val="28"/>
        </w:rPr>
        <w:t>268-19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DF22D0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FB2DD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314168">
              <w:rPr>
                <w:sz w:val="20"/>
                <w:szCs w:val="20"/>
              </w:rPr>
              <w:t>Оказание услуг по проверке эффективности работы стерилизационного и дезинфекционного оборудования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3141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615EB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011EC">
              <w:rPr>
                <w:sz w:val="20"/>
                <w:szCs w:val="20"/>
              </w:rPr>
              <w:t>71.20.13.110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0B2511" w:rsidP="0061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4168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Default="00314168" w:rsidP="00615EB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>Место оказания услуг: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E6BFA">
              <w:rPr>
                <w:sz w:val="20"/>
                <w:szCs w:val="20"/>
              </w:rPr>
              <w:t>г</w:t>
            </w:r>
            <w:proofErr w:type="gramEnd"/>
            <w:r w:rsidRPr="00BE6BFA">
              <w:rPr>
                <w:sz w:val="20"/>
                <w:szCs w:val="20"/>
              </w:rPr>
              <w:t xml:space="preserve">. Иркутск: </w:t>
            </w:r>
          </w:p>
          <w:p w:rsidR="00314168" w:rsidRPr="00BE6BFA" w:rsidRDefault="00314168" w:rsidP="00615EB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ул. Ярославского, 300, </w:t>
            </w:r>
          </w:p>
          <w:p w:rsidR="00314168" w:rsidRPr="00BE6BFA" w:rsidRDefault="00314168" w:rsidP="00615EB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>ул. Баумана, 214А,</w:t>
            </w:r>
          </w:p>
          <w:p w:rsidR="00314168" w:rsidRPr="00BE6BFA" w:rsidRDefault="00314168" w:rsidP="00615EB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ул. Баумана, 206, </w:t>
            </w:r>
          </w:p>
          <w:p w:rsidR="00314168" w:rsidRDefault="00314168" w:rsidP="00615EB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Академика </w:t>
            </w:r>
            <w:proofErr w:type="gramStart"/>
            <w:r>
              <w:rPr>
                <w:sz w:val="20"/>
                <w:szCs w:val="20"/>
              </w:rPr>
              <w:t>Образцова</w:t>
            </w:r>
            <w:proofErr w:type="gramEnd"/>
            <w:r>
              <w:rPr>
                <w:sz w:val="20"/>
                <w:szCs w:val="20"/>
              </w:rPr>
              <w:t>, 27,</w:t>
            </w:r>
          </w:p>
          <w:p w:rsidR="00314168" w:rsidRPr="00661B0D" w:rsidRDefault="00314168" w:rsidP="0061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Партизанская, 74Ж</w:t>
            </w:r>
            <w:proofErr w:type="gramStart"/>
            <w:r w:rsidRPr="00BE6B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314168" w:rsidRPr="00BE6BFA" w:rsidRDefault="00314168" w:rsidP="00615EB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 0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3141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8" w:rsidRPr="00FE2446" w:rsidRDefault="00314168" w:rsidP="00615EB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116 354,00 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сто шестнадцать тысяч триста пятьдесят четыре рубля)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0B2511" w:rsidRDefault="00314168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5 817,70 руб. (пять тысяч восемьсот семнадцать рублей семьдесят копеек)</w:t>
            </w:r>
            <w:r w:rsidR="00BF0545" w:rsidRPr="000B2511">
              <w:rPr>
                <w:sz w:val="19"/>
                <w:szCs w:val="19"/>
              </w:rPr>
              <w:t>.</w:t>
            </w:r>
          </w:p>
          <w:p w:rsidR="0016576A" w:rsidRPr="000B2511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</w:p>
          <w:p w:rsidR="0016576A" w:rsidRPr="000B2511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B251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Исполнение договора может обеспечиваться: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6576A" w:rsidRPr="000B2511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b/>
                <w:sz w:val="19"/>
                <w:szCs w:val="19"/>
              </w:rPr>
              <w:t>внесением денежных средств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Реквизиты для перечисления обеспечения исполнения договора: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ИНН 3810009342    КПП 381001001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Отделение Иркутск </w:t>
            </w:r>
            <w:proofErr w:type="gramStart"/>
            <w:r w:rsidRPr="000B2511">
              <w:rPr>
                <w:sz w:val="19"/>
                <w:szCs w:val="19"/>
              </w:rPr>
              <w:t>г</w:t>
            </w:r>
            <w:proofErr w:type="gramEnd"/>
            <w:r w:rsidRPr="000B2511">
              <w:rPr>
                <w:sz w:val="19"/>
                <w:szCs w:val="19"/>
              </w:rPr>
              <w:t xml:space="preserve">. Иркутск          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proofErr w:type="spellStart"/>
            <w:proofErr w:type="gramStart"/>
            <w:r w:rsidRPr="000B2511">
              <w:rPr>
                <w:sz w:val="19"/>
                <w:szCs w:val="19"/>
              </w:rPr>
              <w:t>р</w:t>
            </w:r>
            <w:proofErr w:type="gramEnd"/>
            <w:r w:rsidRPr="000B2511">
              <w:rPr>
                <w:sz w:val="19"/>
                <w:szCs w:val="19"/>
              </w:rPr>
              <w:t>\сч</w:t>
            </w:r>
            <w:proofErr w:type="spellEnd"/>
            <w:r w:rsidRPr="000B2511">
              <w:rPr>
                <w:sz w:val="19"/>
                <w:szCs w:val="19"/>
              </w:rPr>
              <w:t xml:space="preserve">. 40601810500003000002 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БИК 042520001             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Министерство финансов Иркутской области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proofErr w:type="gramEnd"/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/с 80303060207), КПС 0000000000000000510, КВФО 3, 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Код субсидии 803093000, Отраслевой код 00000000000000000,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</w:p>
          <w:p w:rsidR="0016576A" w:rsidRPr="000B2511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предоставлением банковской гарантии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случае</w:t>
            </w:r>
            <w:proofErr w:type="gramStart"/>
            <w:r w:rsidRPr="000B2511">
              <w:rPr>
                <w:sz w:val="19"/>
                <w:szCs w:val="19"/>
              </w:rPr>
              <w:t>,</w:t>
            </w:r>
            <w:proofErr w:type="gramEnd"/>
            <w:r w:rsidRPr="000B2511">
              <w:rPr>
                <w:sz w:val="19"/>
                <w:szCs w:val="19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0B2511">
              <w:rPr>
                <w:bCs/>
                <w:sz w:val="19"/>
                <w:szCs w:val="19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0B2511">
              <w:rPr>
                <w:sz w:val="19"/>
                <w:szCs w:val="19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ств пр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инципалом;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2)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обязатель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ств пр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3)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4)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5)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6)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7)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Заказчиком, но не 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превышающем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размер обеспечения исполнения договора;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8)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9)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10)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11)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расчет суммы, включаемой в требование по банковской гарантии;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и(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12)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Недопустимо включение в банковскую гарантию:</w:t>
            </w:r>
          </w:p>
          <w:p w:rsidR="0016576A" w:rsidRPr="000B2511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1)</w:t>
            </w:r>
            <w:r w:rsidRPr="000B2511">
              <w:rPr>
                <w:sz w:val="19"/>
                <w:szCs w:val="19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0B2511">
              <w:rPr>
                <w:sz w:val="19"/>
                <w:szCs w:val="19"/>
              </w:rPr>
              <w:t>непредоставления</w:t>
            </w:r>
            <w:proofErr w:type="spellEnd"/>
            <w:r w:rsidRPr="000B2511">
              <w:rPr>
                <w:sz w:val="19"/>
                <w:szCs w:val="19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0B2511">
              <w:rPr>
                <w:sz w:val="19"/>
                <w:szCs w:val="19"/>
              </w:rPr>
              <w:t>а(</w:t>
            </w:r>
            <w:proofErr w:type="gramEnd"/>
            <w:r w:rsidRPr="000B2511">
              <w:rPr>
                <w:sz w:val="19"/>
                <w:szCs w:val="19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0B2511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2)</w:t>
            </w:r>
            <w:r w:rsidRPr="000B2511">
              <w:rPr>
                <w:sz w:val="19"/>
                <w:szCs w:val="19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3)</w:t>
            </w:r>
            <w:r w:rsidRPr="000B2511">
              <w:rPr>
                <w:sz w:val="19"/>
                <w:szCs w:val="19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случае </w:t>
            </w:r>
            <w:proofErr w:type="spellStart"/>
            <w:r w:rsidRPr="000B2511">
              <w:rPr>
                <w:sz w:val="19"/>
                <w:szCs w:val="19"/>
              </w:rPr>
              <w:t>непредоставления</w:t>
            </w:r>
            <w:proofErr w:type="spellEnd"/>
            <w:r w:rsidRPr="000B2511">
              <w:rPr>
                <w:sz w:val="19"/>
                <w:szCs w:val="19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22179A" w:rsidRDefault="00314168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Открытое акционерное общество «Иркутская дезинфекционная станция» (ОАО «</w:t>
            </w:r>
            <w:proofErr w:type="spellStart"/>
            <w:r>
              <w:rPr>
                <w:b/>
                <w:sz w:val="22"/>
                <w:szCs w:val="22"/>
              </w:rPr>
              <w:t>Дезирс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  <w:p w:rsidR="00C35A4E" w:rsidRPr="0022179A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 xml:space="preserve">ИНН </w:t>
            </w:r>
            <w:r w:rsidR="00314168" w:rsidRPr="005212AD">
              <w:rPr>
                <w:sz w:val="20"/>
                <w:szCs w:val="20"/>
              </w:rPr>
              <w:t>381096740</w:t>
            </w:r>
            <w:r w:rsidRPr="0022179A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314168">
        <w:rPr>
          <w:b/>
          <w:bCs/>
          <w:sz w:val="22"/>
          <w:szCs w:val="22"/>
        </w:rPr>
        <w:t>оказание услуг по проверке эффективности работы стерилизационного и дезинфекционного оборудования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314168">
        <w:rPr>
          <w:b/>
          <w:kern w:val="32"/>
          <w:sz w:val="22"/>
          <w:szCs w:val="22"/>
        </w:rPr>
        <w:t>268-19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314168">
        <w:rPr>
          <w:b/>
          <w:bCs/>
          <w:sz w:val="20"/>
        </w:rPr>
        <w:t>оказание услуг по проверке эффективности работы стерилизационного и дезинфекционного оборудования</w:t>
      </w:r>
      <w:r w:rsidRPr="005A07FA">
        <w:rPr>
          <w:b/>
          <w:bCs/>
          <w:sz w:val="20"/>
        </w:rPr>
        <w:t xml:space="preserve"> </w:t>
      </w:r>
      <w:bookmarkEnd w:id="0"/>
    </w:p>
    <w:p w:rsidR="000B2511" w:rsidRDefault="000B2511" w:rsidP="006D4C7E">
      <w:pPr>
        <w:pStyle w:val="13"/>
        <w:jc w:val="center"/>
        <w:rPr>
          <w:b/>
          <w:bCs/>
          <w:sz w:val="20"/>
        </w:rPr>
      </w:pPr>
    </w:p>
    <w:tbl>
      <w:tblPr>
        <w:tblW w:w="10489" w:type="dxa"/>
        <w:tblInd w:w="-176" w:type="dxa"/>
        <w:tblLayout w:type="fixed"/>
        <w:tblLook w:val="04A0"/>
      </w:tblPr>
      <w:tblGrid>
        <w:gridCol w:w="579"/>
        <w:gridCol w:w="1832"/>
        <w:gridCol w:w="6378"/>
        <w:gridCol w:w="850"/>
        <w:gridCol w:w="850"/>
      </w:tblGrid>
      <w:tr w:rsidR="000B2511" w:rsidRPr="005A07FA" w:rsidTr="000B251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11" w:rsidRPr="000C6EB2" w:rsidRDefault="000B2511" w:rsidP="00CA38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11" w:rsidRPr="000C6EB2" w:rsidRDefault="000B2511" w:rsidP="00CA38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511" w:rsidRPr="000C6EB2" w:rsidRDefault="000B2511" w:rsidP="00CA38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511" w:rsidRPr="000C6EB2" w:rsidRDefault="000B2511" w:rsidP="00CA38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11" w:rsidRPr="000C6EB2" w:rsidRDefault="000B2511" w:rsidP="00CA38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B2511" w:rsidRPr="005A07FA" w:rsidTr="000B2511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B2511" w:rsidRPr="00E964BA" w:rsidRDefault="000B2511" w:rsidP="00CA3892">
            <w:pPr>
              <w:jc w:val="center"/>
              <w:rPr>
                <w:sz w:val="20"/>
                <w:szCs w:val="20"/>
              </w:rPr>
            </w:pPr>
            <w:r w:rsidRPr="00E964BA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sz w:val="20"/>
                <w:szCs w:val="20"/>
              </w:rPr>
              <w:t xml:space="preserve">Оказание услуг </w:t>
            </w:r>
            <w:r w:rsidRPr="0086349A">
              <w:rPr>
                <w:bCs/>
                <w:sz w:val="20"/>
                <w:szCs w:val="20"/>
              </w:rPr>
              <w:t xml:space="preserve">по проведению проверки эффективности работы стерилизационного и дезинфекционного оборудования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sz w:val="20"/>
                <w:szCs w:val="20"/>
              </w:rPr>
              <w:t xml:space="preserve">Оказание услуг </w:t>
            </w:r>
            <w:r w:rsidRPr="0086349A">
              <w:rPr>
                <w:bCs/>
                <w:sz w:val="20"/>
                <w:szCs w:val="20"/>
              </w:rPr>
              <w:t xml:space="preserve">по проведению проверки эффективности работы стерилизационного и дезинфекционного оборудования в соответствии с требованиями </w:t>
            </w:r>
            <w:proofErr w:type="spellStart"/>
            <w:r w:rsidRPr="0086349A">
              <w:rPr>
                <w:bCs/>
                <w:sz w:val="20"/>
                <w:szCs w:val="20"/>
              </w:rPr>
              <w:t>СанПиН</w:t>
            </w:r>
            <w:proofErr w:type="spellEnd"/>
            <w:r w:rsidRPr="0086349A">
              <w:rPr>
                <w:bCs/>
                <w:sz w:val="20"/>
                <w:szCs w:val="20"/>
              </w:rPr>
              <w:t xml:space="preserve"> 2.1.3.2630-10 «Санитарно-эпидемиологические требования к организациям, осуществляющим медицинскую деятельность», методических указаний по контролю работы паровых и воздушных стерилизаторов и других нормативно-правовых документов.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511" w:rsidRPr="0086349A" w:rsidRDefault="000B2511" w:rsidP="00CA3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511" w:rsidRPr="005A07FA" w:rsidTr="000B251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B2511" w:rsidRPr="00E964BA" w:rsidRDefault="000B2511" w:rsidP="00CA3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E964BA" w:rsidRDefault="000B2511" w:rsidP="00CA3892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1. Проверка эффективности работы стерилизационного оборудования:</w:t>
            </w:r>
          </w:p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 xml:space="preserve">Приготовление и исследование </w:t>
            </w:r>
            <w:proofErr w:type="spellStart"/>
            <w:r w:rsidRPr="0086349A">
              <w:rPr>
                <w:color w:val="000000"/>
                <w:sz w:val="20"/>
                <w:szCs w:val="20"/>
              </w:rPr>
              <w:t>бак</w:t>
            </w:r>
            <w:proofErr w:type="gramStart"/>
            <w:r w:rsidRPr="0086349A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6349A">
              <w:rPr>
                <w:color w:val="000000"/>
                <w:sz w:val="20"/>
                <w:szCs w:val="20"/>
              </w:rPr>
              <w:t>естов</w:t>
            </w:r>
            <w:proofErr w:type="spellEnd"/>
            <w:r w:rsidRPr="0086349A">
              <w:rPr>
                <w:color w:val="000000"/>
                <w:sz w:val="20"/>
                <w:szCs w:val="20"/>
              </w:rPr>
              <w:t xml:space="preserve"> для контроля стерилизаторов:</w:t>
            </w:r>
          </w:p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Паровых 5ед.,</w:t>
            </w:r>
          </w:p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Воздушных 31ед.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511" w:rsidRPr="0086349A" w:rsidRDefault="000B2511" w:rsidP="00CA3892">
            <w:pPr>
              <w:jc w:val="center"/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jc w:val="center"/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648 (по 9 тестов на ед. 2р/год)</w:t>
            </w:r>
          </w:p>
        </w:tc>
      </w:tr>
      <w:tr w:rsidR="000B2511" w:rsidRPr="005A07FA" w:rsidTr="000B251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511" w:rsidRPr="00E964BA" w:rsidRDefault="000B2511" w:rsidP="00CA3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E964BA" w:rsidRDefault="000B2511" w:rsidP="00CA3892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2. Обследование объекта с выдачей заключения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511" w:rsidRPr="0086349A" w:rsidRDefault="000B2511" w:rsidP="00CA3892">
            <w:pPr>
              <w:jc w:val="center"/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11" w:rsidRPr="0086349A" w:rsidRDefault="000B2511" w:rsidP="00CA3892">
            <w:pPr>
              <w:jc w:val="center"/>
              <w:rPr>
                <w:color w:val="000000"/>
                <w:sz w:val="20"/>
                <w:szCs w:val="20"/>
              </w:rPr>
            </w:pPr>
            <w:r w:rsidRPr="0086349A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0B2511" w:rsidRPr="005A07FA" w:rsidRDefault="000B2511" w:rsidP="000B2511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A07FA">
        <w:rPr>
          <w:b/>
          <w:sz w:val="16"/>
          <w:szCs w:val="16"/>
        </w:rPr>
        <w:t xml:space="preserve">*- </w:t>
      </w:r>
      <w:r w:rsidRPr="005A07FA">
        <w:rPr>
          <w:sz w:val="16"/>
          <w:szCs w:val="16"/>
        </w:rPr>
        <w:t>Устанавливается в соответствии с</w:t>
      </w:r>
      <w:r w:rsidRPr="005A07FA">
        <w:rPr>
          <w:b/>
          <w:sz w:val="16"/>
          <w:szCs w:val="16"/>
        </w:rPr>
        <w:t xml:space="preserve"> </w:t>
      </w:r>
      <w:r w:rsidRPr="005A07FA">
        <w:rPr>
          <w:sz w:val="16"/>
          <w:szCs w:val="16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0B2511" w:rsidRPr="00A052A8" w:rsidRDefault="000B2511" w:rsidP="000B2511">
      <w:pPr>
        <w:pStyle w:val="13"/>
        <w:jc w:val="center"/>
        <w:rPr>
          <w:b/>
          <w:bCs/>
          <w:sz w:val="20"/>
        </w:rPr>
      </w:pPr>
    </w:p>
    <w:p w:rsidR="000B2511" w:rsidRPr="000B2511" w:rsidRDefault="000B2511" w:rsidP="000B2511">
      <w:pPr>
        <w:pStyle w:val="af0"/>
        <w:numPr>
          <w:ilvl w:val="0"/>
          <w:numId w:val="39"/>
        </w:numPr>
        <w:ind w:left="709" w:hanging="283"/>
        <w:jc w:val="both"/>
        <w:rPr>
          <w:b w:val="0"/>
          <w:bCs/>
          <w:sz w:val="18"/>
          <w:szCs w:val="18"/>
        </w:rPr>
      </w:pPr>
      <w:r w:rsidRPr="000B2511">
        <w:rPr>
          <w:b w:val="0"/>
          <w:sz w:val="18"/>
          <w:szCs w:val="18"/>
        </w:rPr>
        <w:t>Оказание Услуг осуществляется Исполнителем в соответствии с законодательством Российской Федерации, требованиями иных нормативных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договора</w:t>
      </w:r>
      <w:r w:rsidRPr="000B2511">
        <w:rPr>
          <w:b w:val="0"/>
          <w:bCs/>
          <w:sz w:val="18"/>
          <w:szCs w:val="18"/>
        </w:rPr>
        <w:t>.</w:t>
      </w:r>
    </w:p>
    <w:p w:rsidR="000B2511" w:rsidRPr="000B2511" w:rsidRDefault="000B2511" w:rsidP="000B2511">
      <w:pPr>
        <w:pStyle w:val="af0"/>
        <w:numPr>
          <w:ilvl w:val="0"/>
          <w:numId w:val="39"/>
        </w:numPr>
        <w:jc w:val="both"/>
        <w:rPr>
          <w:b w:val="0"/>
          <w:sz w:val="18"/>
          <w:szCs w:val="18"/>
        </w:rPr>
      </w:pPr>
      <w:r w:rsidRPr="000B2511">
        <w:rPr>
          <w:b w:val="0"/>
          <w:sz w:val="18"/>
          <w:szCs w:val="18"/>
        </w:rPr>
        <w:t xml:space="preserve">Оказание услуг осуществляется в рабочие дни </w:t>
      </w:r>
      <w:r w:rsidRPr="000B2511">
        <w:rPr>
          <w:b w:val="0"/>
          <w:bCs/>
          <w:sz w:val="18"/>
          <w:szCs w:val="18"/>
        </w:rPr>
        <w:t xml:space="preserve">(кроме субботы, воскресения и праздничных дней) </w:t>
      </w:r>
      <w:r w:rsidRPr="000B2511">
        <w:rPr>
          <w:b w:val="0"/>
          <w:sz w:val="18"/>
          <w:szCs w:val="18"/>
        </w:rPr>
        <w:t>исследований</w:t>
      </w:r>
      <w:r w:rsidRPr="000B2511">
        <w:rPr>
          <w:rStyle w:val="afc"/>
          <w:b w:val="0"/>
          <w:sz w:val="18"/>
          <w:szCs w:val="18"/>
        </w:rPr>
        <w:t xml:space="preserve"> </w:t>
      </w:r>
      <w:proofErr w:type="gramStart"/>
      <w:r w:rsidRPr="000B2511">
        <w:rPr>
          <w:rStyle w:val="afc"/>
          <w:b w:val="0"/>
          <w:sz w:val="18"/>
          <w:szCs w:val="18"/>
        </w:rPr>
        <w:t>согласно графика</w:t>
      </w:r>
      <w:proofErr w:type="gramEnd"/>
      <w:r w:rsidRPr="000B2511">
        <w:rPr>
          <w:rStyle w:val="afc"/>
          <w:b w:val="0"/>
          <w:sz w:val="18"/>
          <w:szCs w:val="18"/>
        </w:rPr>
        <w:t>, согласованного Заказчиком</w:t>
      </w:r>
      <w:r w:rsidRPr="000B2511">
        <w:rPr>
          <w:b w:val="0"/>
          <w:bCs/>
          <w:sz w:val="18"/>
          <w:szCs w:val="18"/>
        </w:rPr>
        <w:t xml:space="preserve">. </w:t>
      </w:r>
    </w:p>
    <w:p w:rsidR="000B2511" w:rsidRPr="000B2511" w:rsidRDefault="000B2511" w:rsidP="000B2511">
      <w:pPr>
        <w:pStyle w:val="af0"/>
        <w:numPr>
          <w:ilvl w:val="0"/>
          <w:numId w:val="39"/>
        </w:numPr>
        <w:jc w:val="both"/>
        <w:rPr>
          <w:b w:val="0"/>
          <w:bCs/>
          <w:sz w:val="18"/>
          <w:szCs w:val="18"/>
        </w:rPr>
      </w:pPr>
      <w:r w:rsidRPr="000B2511">
        <w:rPr>
          <w:b w:val="0"/>
          <w:bCs/>
          <w:sz w:val="18"/>
          <w:szCs w:val="18"/>
        </w:rPr>
        <w:t xml:space="preserve">Исполнитель оказывает услуги с использованием своих расходных материалов, инструментов и оборудования. </w:t>
      </w:r>
      <w:r w:rsidRPr="000B2511">
        <w:rPr>
          <w:b w:val="0"/>
          <w:sz w:val="18"/>
          <w:szCs w:val="18"/>
        </w:rPr>
        <w:t>В порядок оказания услуг должны включатся: выход специалистов, в т.ч. забора проб, оформление протоколов лабораторных исследований.</w:t>
      </w:r>
    </w:p>
    <w:p w:rsidR="000B2511" w:rsidRPr="000B2511" w:rsidRDefault="000B2511" w:rsidP="000B2511">
      <w:pPr>
        <w:pStyle w:val="af0"/>
        <w:numPr>
          <w:ilvl w:val="0"/>
          <w:numId w:val="39"/>
        </w:numPr>
        <w:jc w:val="both"/>
        <w:rPr>
          <w:b w:val="0"/>
          <w:bCs/>
          <w:sz w:val="18"/>
          <w:szCs w:val="18"/>
        </w:rPr>
      </w:pPr>
      <w:r w:rsidRPr="000B2511">
        <w:rPr>
          <w:b w:val="0"/>
          <w:bCs/>
          <w:sz w:val="18"/>
          <w:szCs w:val="18"/>
        </w:rPr>
        <w:t xml:space="preserve">Услуги должны быть выполнены с надлежащим качеством. </w:t>
      </w:r>
    </w:p>
    <w:p w:rsidR="000B2511" w:rsidRPr="000B2511" w:rsidRDefault="000B2511" w:rsidP="000B2511">
      <w:pPr>
        <w:pStyle w:val="af0"/>
        <w:numPr>
          <w:ilvl w:val="0"/>
          <w:numId w:val="39"/>
        </w:numPr>
        <w:jc w:val="both"/>
        <w:rPr>
          <w:b w:val="0"/>
          <w:bCs/>
          <w:sz w:val="18"/>
          <w:szCs w:val="18"/>
        </w:rPr>
      </w:pPr>
      <w:r w:rsidRPr="000B2511">
        <w:rPr>
          <w:b w:val="0"/>
          <w:bCs/>
          <w:sz w:val="18"/>
          <w:szCs w:val="18"/>
        </w:rPr>
        <w:t xml:space="preserve">Исполнитель должен руководствоваться действующими инструкциями по безопасности  при выполнении данного вида услуг. </w:t>
      </w:r>
    </w:p>
    <w:p w:rsidR="000B2511" w:rsidRPr="000B2511" w:rsidRDefault="000B2511" w:rsidP="000B2511">
      <w:pPr>
        <w:pStyle w:val="af0"/>
        <w:numPr>
          <w:ilvl w:val="0"/>
          <w:numId w:val="39"/>
        </w:numPr>
        <w:jc w:val="both"/>
        <w:rPr>
          <w:b w:val="0"/>
          <w:bCs/>
          <w:sz w:val="18"/>
          <w:szCs w:val="18"/>
        </w:rPr>
      </w:pPr>
      <w:r w:rsidRPr="000B2511">
        <w:rPr>
          <w:b w:val="0"/>
          <w:sz w:val="18"/>
          <w:szCs w:val="18"/>
          <w:lang w:eastAsia="ar-SA"/>
        </w:rPr>
        <w:t xml:space="preserve">При оказании услуг Исполнитель гарантирует </w:t>
      </w:r>
      <w:r w:rsidRPr="000B2511">
        <w:rPr>
          <w:b w:val="0"/>
          <w:bCs/>
          <w:sz w:val="18"/>
          <w:szCs w:val="18"/>
        </w:rPr>
        <w:t>выполнение необходимых противопожарных мероприятий, мероприятий по технике безопасности и охране окружающей среды в соответствии с действующими нормативными документами и требованиями.</w:t>
      </w:r>
    </w:p>
    <w:p w:rsidR="000B2511" w:rsidRPr="000B2511" w:rsidRDefault="000B2511" w:rsidP="006D4C7E">
      <w:pPr>
        <w:pStyle w:val="13"/>
        <w:jc w:val="center"/>
        <w:rPr>
          <w:b/>
          <w:bCs/>
          <w:szCs w:val="18"/>
        </w:rPr>
      </w:pPr>
    </w:p>
    <w:sectPr w:rsidR="000B2511" w:rsidRPr="000B2511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DB1" w:rsidRDefault="008C7DB1" w:rsidP="00ED57EB">
      <w:r>
        <w:separator/>
      </w:r>
    </w:p>
  </w:endnote>
  <w:endnote w:type="continuationSeparator" w:id="1">
    <w:p w:rsidR="008C7DB1" w:rsidRDefault="008C7DB1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8C7DB1" w:rsidRDefault="008C7DB1">
        <w:pPr>
          <w:pStyle w:val="af8"/>
          <w:jc w:val="right"/>
        </w:pPr>
        <w:fldSimple w:instr=" PAGE   \* MERGEFORMAT ">
          <w:r w:rsidR="000B2511">
            <w:rPr>
              <w:noProof/>
            </w:rPr>
            <w:t>4</w:t>
          </w:r>
        </w:fldSimple>
      </w:p>
    </w:sdtContent>
  </w:sdt>
  <w:p w:rsidR="008C7DB1" w:rsidRDefault="008C7DB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DB1" w:rsidRDefault="008C7DB1" w:rsidP="00ED57EB">
      <w:r>
        <w:separator/>
      </w:r>
    </w:p>
  </w:footnote>
  <w:footnote w:type="continuationSeparator" w:id="1">
    <w:p w:rsidR="008C7DB1" w:rsidRDefault="008C7DB1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2511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19DB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4168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B6967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4975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B3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DB1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1B0F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2DDA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1586</Words>
  <Characters>11799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13359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4</cp:revision>
  <cp:lastPrinted>2019-12-13T04:47:00Z</cp:lastPrinted>
  <dcterms:created xsi:type="dcterms:W3CDTF">2019-12-13T03:58:00Z</dcterms:created>
  <dcterms:modified xsi:type="dcterms:W3CDTF">2019-12-13T04:47:00Z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