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183B30">
        <w:rPr>
          <w:b/>
          <w:sz w:val="28"/>
          <w:szCs w:val="28"/>
        </w:rPr>
        <w:t>растворов для гематологического анализатора Mythic 22</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183B30">
        <w:rPr>
          <w:b/>
          <w:kern w:val="32"/>
          <w:sz w:val="28"/>
          <w:szCs w:val="28"/>
        </w:rPr>
        <w:t>151-19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10AEE"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183B30">
              <w:rPr>
                <w:bCs/>
                <w:sz w:val="20"/>
                <w:szCs w:val="20"/>
              </w:rPr>
              <w:t>растворов для гематологического анализатора Mythic 22</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183B30" w:rsidP="00BF5704">
            <w:pPr>
              <w:autoSpaceDE w:val="0"/>
              <w:autoSpaceDN w:val="0"/>
              <w:adjustRightInd w:val="0"/>
              <w:rPr>
                <w:sz w:val="20"/>
                <w:szCs w:val="20"/>
                <w:highlight w:val="yellow"/>
              </w:rPr>
            </w:pPr>
            <w:r w:rsidRPr="00183B3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183B30">
              <w:rPr>
                <w:sz w:val="20"/>
                <w:szCs w:val="20"/>
              </w:rPr>
              <w:t>6</w:t>
            </w:r>
            <w:r>
              <w:rPr>
                <w:sz w:val="20"/>
                <w:szCs w:val="20"/>
              </w:rPr>
              <w:t>7</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.0</w:t>
            </w:r>
            <w:r w:rsidR="00183B30">
              <w:rPr>
                <w:sz w:val="20"/>
                <w:szCs w:val="20"/>
              </w:rPr>
              <w:t>3</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83B30" w:rsidP="00183B30">
            <w:pPr>
              <w:tabs>
                <w:tab w:val="left" w:pos="6022"/>
              </w:tabs>
              <w:ind w:right="72"/>
              <w:rPr>
                <w:sz w:val="20"/>
                <w:szCs w:val="20"/>
              </w:rPr>
            </w:pPr>
            <w:r>
              <w:rPr>
                <w:sz w:val="20"/>
                <w:szCs w:val="20"/>
              </w:rPr>
              <w:t>1 153 900</w:t>
            </w:r>
            <w:r w:rsidR="00BE0EDF">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один миллион сто пятьдесят три тысячи девятьсот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0E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20</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28</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20</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3402">
            <w:pPr>
              <w:jc w:val="both"/>
              <w:rPr>
                <w:sz w:val="20"/>
                <w:szCs w:val="20"/>
              </w:rPr>
            </w:pPr>
            <w:r w:rsidRPr="00FE2446">
              <w:rPr>
                <w:bCs/>
                <w:sz w:val="20"/>
                <w:szCs w:val="20"/>
              </w:rPr>
              <w:t>«</w:t>
            </w:r>
            <w:r w:rsidR="00653402">
              <w:rPr>
                <w:bCs/>
                <w:sz w:val="20"/>
                <w:szCs w:val="20"/>
              </w:rPr>
              <w:t>28</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B168FB">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Приложение № 4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183B30" w:rsidP="007C0DB3">
            <w:pPr>
              <w:autoSpaceDE w:val="0"/>
              <w:autoSpaceDN w:val="0"/>
              <w:adjustRightInd w:val="0"/>
              <w:jc w:val="both"/>
              <w:outlineLvl w:val="1"/>
              <w:rPr>
                <w:sz w:val="20"/>
                <w:szCs w:val="20"/>
              </w:rPr>
            </w:pPr>
            <w:r>
              <w:rPr>
                <w:sz w:val="20"/>
                <w:szCs w:val="20"/>
              </w:rPr>
              <w:t>57 695,00</w:t>
            </w:r>
            <w:r w:rsidR="0073495D">
              <w:rPr>
                <w:sz w:val="20"/>
                <w:szCs w:val="20"/>
              </w:rPr>
              <w:t xml:space="preserve"> </w:t>
            </w:r>
            <w:r w:rsidR="00A84ECD" w:rsidRPr="00FE2446">
              <w:rPr>
                <w:sz w:val="20"/>
                <w:szCs w:val="20"/>
              </w:rPr>
              <w:t>руб. (</w:t>
            </w:r>
            <w:r>
              <w:rPr>
                <w:sz w:val="20"/>
                <w:szCs w:val="20"/>
              </w:rPr>
              <w:t>пятьдесят семь тысяч шестьсот девяносто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22DF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 и ценового предложения.</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Приложение № 4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53402">
            <w:pPr>
              <w:jc w:val="both"/>
              <w:rPr>
                <w:sz w:val="20"/>
                <w:szCs w:val="20"/>
              </w:rPr>
            </w:pPr>
            <w:r w:rsidRPr="00FE2446">
              <w:rPr>
                <w:sz w:val="20"/>
                <w:szCs w:val="20"/>
              </w:rPr>
              <w:t>«</w:t>
            </w:r>
            <w:r w:rsidR="00D16914">
              <w:rPr>
                <w:sz w:val="20"/>
                <w:szCs w:val="20"/>
              </w:rPr>
              <w:t>2</w:t>
            </w:r>
            <w:r w:rsidR="00653402">
              <w:rPr>
                <w:sz w:val="20"/>
                <w:szCs w:val="20"/>
              </w:rPr>
              <w:t>7</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28</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F1B1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DF1B1A" w:rsidRPr="00485047">
              <w:rPr>
                <w:b/>
                <w:sz w:val="20"/>
                <w:szCs w:val="20"/>
              </w:rPr>
              <w:t>8</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растворов для гематологического анализатора Mythic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183B30">
        <w:rPr>
          <w:b/>
          <w:kern w:val="32"/>
          <w:sz w:val="20"/>
          <w:szCs w:val="20"/>
        </w:rPr>
        <w:t>151-19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183B30">
        <w:rPr>
          <w:b/>
          <w:bCs/>
          <w:sz w:val="20"/>
        </w:rPr>
        <w:t>растворов для гематологического анализатора Mythic 22</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Изотонический разбавитель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Изотонический раствор для  гематологического  анализатора Mythic 22/22 AL (закрытая система).</w:t>
            </w:r>
            <w:r w:rsidRPr="00593EE2">
              <w:rPr>
                <w:sz w:val="20"/>
                <w:szCs w:val="20"/>
              </w:rPr>
              <w:br/>
              <w:t>Предназначен для разведения  и поддержания стабильности во время измерения красных кровяных телец / тромбоцитов.</w:t>
            </w:r>
            <w:r w:rsidRPr="00593EE2">
              <w:rPr>
                <w:sz w:val="20"/>
                <w:szCs w:val="20"/>
              </w:rPr>
              <w:br/>
              <w:t>Состав:</w:t>
            </w:r>
          </w:p>
          <w:p w:rsidR="00593EE2" w:rsidRPr="00593EE2" w:rsidRDefault="00593EE2" w:rsidP="00593EE2">
            <w:pPr>
              <w:rPr>
                <w:sz w:val="20"/>
                <w:szCs w:val="20"/>
              </w:rPr>
            </w:pPr>
            <w:r w:rsidRPr="00593EE2">
              <w:rPr>
                <w:sz w:val="20"/>
                <w:szCs w:val="20"/>
              </w:rPr>
              <w:t xml:space="preserve">Неорганический фосфатный буфер, </w:t>
            </w:r>
          </w:p>
          <w:p w:rsidR="00593EE2" w:rsidRPr="00593EE2" w:rsidRDefault="00593EE2" w:rsidP="00593EE2">
            <w:pPr>
              <w:rPr>
                <w:sz w:val="20"/>
                <w:szCs w:val="20"/>
              </w:rPr>
            </w:pPr>
            <w:r w:rsidRPr="00593EE2">
              <w:rPr>
                <w:sz w:val="20"/>
                <w:szCs w:val="20"/>
              </w:rPr>
              <w:t xml:space="preserve">хлорид натрия, </w:t>
            </w:r>
          </w:p>
          <w:p w:rsidR="00593EE2" w:rsidRPr="00593EE2" w:rsidRDefault="00593EE2" w:rsidP="00593EE2">
            <w:pPr>
              <w:rPr>
                <w:sz w:val="20"/>
                <w:szCs w:val="20"/>
              </w:rPr>
            </w:pPr>
            <w:r w:rsidRPr="00593EE2">
              <w:rPr>
                <w:sz w:val="20"/>
                <w:szCs w:val="20"/>
              </w:rPr>
              <w:t xml:space="preserve">хлорид калия, </w:t>
            </w:r>
          </w:p>
          <w:p w:rsidR="00593EE2" w:rsidRPr="00593EE2" w:rsidRDefault="00593EE2" w:rsidP="00593EE2">
            <w:pPr>
              <w:rPr>
                <w:sz w:val="20"/>
                <w:szCs w:val="20"/>
              </w:rPr>
            </w:pPr>
            <w:r w:rsidRPr="00593EE2">
              <w:rPr>
                <w:sz w:val="20"/>
                <w:szCs w:val="20"/>
              </w:rPr>
              <w:t>натрийэтилендиаминэтетраацетиловая кислота,</w:t>
            </w:r>
          </w:p>
          <w:p w:rsidR="00593EE2" w:rsidRPr="00593EE2" w:rsidRDefault="00593EE2" w:rsidP="00593EE2">
            <w:pPr>
              <w:rPr>
                <w:sz w:val="20"/>
                <w:szCs w:val="20"/>
              </w:rPr>
            </w:pPr>
            <w:r w:rsidRPr="00593EE2">
              <w:rPr>
                <w:sz w:val="20"/>
                <w:szCs w:val="20"/>
              </w:rPr>
              <w:t>консервант,</w:t>
            </w:r>
          </w:p>
          <w:p w:rsidR="00593EE2" w:rsidRPr="00593EE2" w:rsidRDefault="00593EE2" w:rsidP="00593EE2">
            <w:pPr>
              <w:rPr>
                <w:sz w:val="20"/>
                <w:szCs w:val="20"/>
              </w:rPr>
            </w:pPr>
            <w:r w:rsidRPr="00593EE2">
              <w:rPr>
                <w:sz w:val="20"/>
                <w:szCs w:val="20"/>
              </w:rPr>
              <w:t>анионный суфрактант</w:t>
            </w:r>
            <w:r w:rsidRPr="00593EE2">
              <w:rPr>
                <w:sz w:val="20"/>
                <w:szCs w:val="20"/>
              </w:rPr>
              <w:br/>
              <w:t>Фасовка</w:t>
            </w:r>
            <w:r>
              <w:rPr>
                <w:sz w:val="20"/>
                <w:szCs w:val="20"/>
              </w:rPr>
              <w:t xml:space="preserve"> – </w:t>
            </w:r>
            <w:r w:rsidRPr="00593EE2">
              <w:rPr>
                <w:sz w:val="20"/>
                <w:szCs w:val="20"/>
              </w:rPr>
              <w:t>10 литров.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45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7000,00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Лизирующий реагент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Лизирующий раствор для  гематологического  анализатора Mythic 22/22 AL  (закрытая система).</w:t>
            </w:r>
            <w:r w:rsidRPr="00593EE2">
              <w:rPr>
                <w:sz w:val="20"/>
                <w:szCs w:val="20"/>
              </w:rPr>
              <w:br/>
              <w:t>Реактив, предназначенный для подсчета и формирования общего количества лейкоцитов, строматолиза красных кровяных телец для высвобождения гемоглобина для последующего измерения фотометрическим способом</w:t>
            </w:r>
            <w:r w:rsidRPr="00593EE2">
              <w:rPr>
                <w:sz w:val="20"/>
                <w:szCs w:val="20"/>
              </w:rPr>
              <w:br/>
              <w:t>Состав:</w:t>
            </w:r>
          </w:p>
          <w:p w:rsidR="00593EE2" w:rsidRPr="00593EE2" w:rsidRDefault="00593EE2" w:rsidP="00593EE2">
            <w:pPr>
              <w:rPr>
                <w:sz w:val="20"/>
                <w:szCs w:val="20"/>
              </w:rPr>
            </w:pPr>
            <w:r w:rsidRPr="00593EE2">
              <w:rPr>
                <w:sz w:val="20"/>
                <w:szCs w:val="20"/>
              </w:rPr>
              <w:t>Щелочные соли,</w:t>
            </w:r>
          </w:p>
          <w:p w:rsidR="00593EE2" w:rsidRPr="00593EE2" w:rsidRDefault="00593EE2" w:rsidP="00593EE2">
            <w:pPr>
              <w:rPr>
                <w:sz w:val="20"/>
                <w:szCs w:val="20"/>
              </w:rPr>
            </w:pPr>
            <w:r w:rsidRPr="00593EE2">
              <w:rPr>
                <w:sz w:val="20"/>
                <w:szCs w:val="20"/>
              </w:rPr>
              <w:t xml:space="preserve">буферная система, </w:t>
            </w:r>
          </w:p>
          <w:p w:rsidR="00593EE2" w:rsidRPr="00593EE2" w:rsidRDefault="00593EE2" w:rsidP="00593EE2">
            <w:pPr>
              <w:rPr>
                <w:sz w:val="20"/>
                <w:szCs w:val="20"/>
              </w:rPr>
            </w:pPr>
            <w:r w:rsidRPr="00593EE2">
              <w:rPr>
                <w:sz w:val="20"/>
                <w:szCs w:val="20"/>
              </w:rPr>
              <w:t>смесь ионных</w:t>
            </w:r>
            <w:r>
              <w:rPr>
                <w:sz w:val="20"/>
                <w:szCs w:val="20"/>
              </w:rPr>
              <w:t xml:space="preserve"> </w:t>
            </w:r>
            <w:r w:rsidRPr="00593EE2">
              <w:rPr>
                <w:sz w:val="20"/>
                <w:szCs w:val="20"/>
              </w:rPr>
              <w:t xml:space="preserve">(четвертичных солей аммония) и неионных детергентов, </w:t>
            </w:r>
          </w:p>
          <w:p w:rsidR="00593EE2" w:rsidRPr="00593EE2" w:rsidRDefault="00593EE2" w:rsidP="00593EE2">
            <w:pPr>
              <w:rPr>
                <w:sz w:val="20"/>
                <w:szCs w:val="20"/>
              </w:rPr>
            </w:pPr>
            <w:r w:rsidRPr="00593EE2">
              <w:rPr>
                <w:sz w:val="20"/>
                <w:szCs w:val="20"/>
              </w:rPr>
              <w:t xml:space="preserve">гемоглобин-хелирующий агент, </w:t>
            </w:r>
          </w:p>
          <w:p w:rsidR="00593EE2" w:rsidRPr="00593EE2" w:rsidRDefault="00593EE2" w:rsidP="00593EE2">
            <w:pPr>
              <w:rPr>
                <w:sz w:val="20"/>
                <w:szCs w:val="20"/>
              </w:rPr>
            </w:pPr>
            <w:r w:rsidRPr="00593EE2">
              <w:rPr>
                <w:sz w:val="20"/>
                <w:szCs w:val="20"/>
              </w:rPr>
              <w:t>консерванты и лейкопротекторные агенты.</w:t>
            </w:r>
            <w:r w:rsidRPr="00593EE2">
              <w:rPr>
                <w:sz w:val="20"/>
                <w:szCs w:val="20"/>
              </w:rPr>
              <w:br/>
              <w:t>Фасовка</w:t>
            </w:r>
            <w:r>
              <w:rPr>
                <w:sz w:val="20"/>
                <w:szCs w:val="20"/>
              </w:rPr>
              <w:t xml:space="preserve"> – </w:t>
            </w:r>
            <w:r w:rsidRPr="00593EE2">
              <w:rPr>
                <w:sz w:val="20"/>
                <w:szCs w:val="20"/>
              </w:rPr>
              <w:t>0,5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35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18200,00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Контрольная кровь 3-х уровневый</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Гематологический контрольный материал (низкий, нормальный и высокий уровни), предназначен для проведения контроля качества гематологических  параметров  на  анализаторах Orphee Mythic 22, Mythic 22 AL.</w:t>
            </w:r>
            <w:r w:rsidRPr="00593EE2">
              <w:rPr>
                <w:sz w:val="20"/>
                <w:szCs w:val="20"/>
              </w:rPr>
              <w:br/>
              <w:t>Контрольный материал должен иметь  паспорт с указанием известных  значений  гематологических параметров, включая дифференцировку лейкоцитов по 5 субпопуляциям.</w:t>
            </w:r>
            <w:r w:rsidRPr="00593EE2">
              <w:rPr>
                <w:sz w:val="20"/>
                <w:szCs w:val="20"/>
              </w:rPr>
              <w:br/>
              <w:t xml:space="preserve">Состав: </w:t>
            </w:r>
          </w:p>
          <w:p w:rsidR="00593EE2" w:rsidRPr="00593EE2" w:rsidRDefault="00593EE2" w:rsidP="00593EE2">
            <w:pPr>
              <w:rPr>
                <w:sz w:val="20"/>
                <w:szCs w:val="20"/>
              </w:rPr>
            </w:pPr>
            <w:r w:rsidRPr="00593EE2">
              <w:rPr>
                <w:sz w:val="20"/>
                <w:szCs w:val="20"/>
              </w:rPr>
              <w:t xml:space="preserve">взвесь человеческих эритроцитов; </w:t>
            </w:r>
          </w:p>
          <w:p w:rsidR="00593EE2" w:rsidRPr="00593EE2" w:rsidRDefault="00593EE2" w:rsidP="00593EE2">
            <w:pPr>
              <w:rPr>
                <w:sz w:val="20"/>
                <w:szCs w:val="20"/>
              </w:rPr>
            </w:pPr>
            <w:r w:rsidRPr="00593EE2">
              <w:rPr>
                <w:sz w:val="20"/>
                <w:szCs w:val="20"/>
              </w:rPr>
              <w:t xml:space="preserve">лейкоцитов и тромбоцитов млекопитающих в плазмоподобной жидкости с консервантами. </w:t>
            </w:r>
            <w:r w:rsidRPr="00593EE2">
              <w:rPr>
                <w:sz w:val="20"/>
                <w:szCs w:val="20"/>
              </w:rPr>
              <w:br/>
              <w:t xml:space="preserve">Стабильность и хранение: </w:t>
            </w:r>
          </w:p>
          <w:p w:rsidR="00593EE2" w:rsidRPr="00593EE2" w:rsidRDefault="00593EE2" w:rsidP="00593EE2">
            <w:pPr>
              <w:rPr>
                <w:sz w:val="20"/>
                <w:szCs w:val="20"/>
              </w:rPr>
            </w:pPr>
            <w:r w:rsidRPr="00593EE2">
              <w:rPr>
                <w:sz w:val="20"/>
                <w:szCs w:val="20"/>
              </w:rPr>
              <w:t xml:space="preserve">контрольный материал в закрытом состоянии стабилен до истечения срока годности при условии температуры хранения от 2 до 8 градусов.  </w:t>
            </w:r>
            <w:r w:rsidRPr="00593EE2">
              <w:rPr>
                <w:sz w:val="20"/>
                <w:szCs w:val="20"/>
              </w:rPr>
              <w:br/>
              <w:t>Рабочая температура применения: комнатная температура (15-30 С).</w:t>
            </w:r>
            <w:r w:rsidRPr="00593EE2">
              <w:rPr>
                <w:sz w:val="20"/>
                <w:szCs w:val="20"/>
              </w:rPr>
              <w:br/>
              <w:t>Фасовка</w:t>
            </w:r>
            <w:r>
              <w:rPr>
                <w:sz w:val="20"/>
                <w:szCs w:val="20"/>
              </w:rPr>
              <w:t xml:space="preserve"> –</w:t>
            </w:r>
            <w:r w:rsidRPr="00593EE2">
              <w:rPr>
                <w:sz w:val="20"/>
                <w:szCs w:val="20"/>
              </w:rPr>
              <w:t xml:space="preserve"> 6 флаконов по 3 мл.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Набор</w:t>
            </w:r>
            <w:r>
              <w:rPr>
                <w:rFonts w:ascii="Times New Roman" w:hAnsi="Times New Roman"/>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4</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26725,00</w:t>
            </w:r>
          </w:p>
        </w:tc>
      </w:tr>
      <w:tr w:rsidR="00593EE2"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93EE2" w:rsidRPr="00593EE2" w:rsidRDefault="00593EE2" w:rsidP="00593EE2">
            <w:pPr>
              <w:jc w:val="center"/>
              <w:rPr>
                <w:sz w:val="20"/>
                <w:szCs w:val="20"/>
              </w:rPr>
            </w:pPr>
            <w:r w:rsidRPr="00593EE2">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rPr>
                <w:rFonts w:ascii="Times New Roman" w:hAnsi="Times New Roman"/>
                <w:sz w:val="20"/>
                <w:szCs w:val="20"/>
              </w:rPr>
            </w:pPr>
            <w:r w:rsidRPr="00593EE2">
              <w:rPr>
                <w:rFonts w:ascii="Times New Roman" w:eastAsia="Times New Roman" w:hAnsi="Times New Roman"/>
                <w:sz w:val="20"/>
                <w:szCs w:val="20"/>
              </w:rPr>
              <w:t xml:space="preserve">Очищающий реагент для гематологического анализатора </w:t>
            </w:r>
            <w:r w:rsidRPr="00593EE2">
              <w:rPr>
                <w:rFonts w:ascii="Times New Roman" w:eastAsia="Times New Roman" w:hAnsi="Times New Roman"/>
                <w:sz w:val="20"/>
                <w:szCs w:val="20"/>
                <w:lang w:val="en-US"/>
              </w:rPr>
              <w:t>MYTHIC</w:t>
            </w:r>
            <w:r w:rsidRPr="00593EE2">
              <w:rPr>
                <w:rFonts w:ascii="Times New Roman" w:hAnsi="Times New Roman"/>
                <w:sz w:val="20"/>
                <w:szCs w:val="20"/>
              </w:rPr>
              <w:t xml:space="preserve"> 22</w:t>
            </w:r>
          </w:p>
        </w:tc>
        <w:tc>
          <w:tcPr>
            <w:tcW w:w="5244" w:type="dxa"/>
            <w:tcBorders>
              <w:top w:val="single" w:sz="4" w:space="0" w:color="auto"/>
              <w:left w:val="nil"/>
              <w:bottom w:val="single" w:sz="4" w:space="0" w:color="auto"/>
              <w:right w:val="single" w:sz="4" w:space="0" w:color="auto"/>
            </w:tcBorders>
          </w:tcPr>
          <w:p w:rsidR="00593EE2" w:rsidRPr="00593EE2" w:rsidRDefault="00593EE2" w:rsidP="00593EE2">
            <w:pPr>
              <w:rPr>
                <w:sz w:val="20"/>
                <w:szCs w:val="20"/>
              </w:rPr>
            </w:pPr>
            <w:r w:rsidRPr="00593EE2">
              <w:rPr>
                <w:sz w:val="20"/>
                <w:szCs w:val="20"/>
              </w:rPr>
              <w:t>Чистящий раствор для гематологического анализатора Mythic 22/22 AL  (закрытая система).</w:t>
            </w:r>
            <w:r w:rsidRPr="00593EE2">
              <w:rPr>
                <w:sz w:val="20"/>
                <w:szCs w:val="20"/>
              </w:rPr>
              <w:br/>
              <w:t xml:space="preserve">Предназначен для очистки и промывания от остатков крови и белка из аспирационной и проточной системы анализатора после каждого анализа образца крови.  </w:t>
            </w:r>
            <w:r w:rsidRPr="00593EE2">
              <w:rPr>
                <w:sz w:val="20"/>
                <w:szCs w:val="20"/>
              </w:rPr>
              <w:br/>
              <w:t>Состав:</w:t>
            </w:r>
          </w:p>
          <w:p w:rsidR="00593EE2" w:rsidRPr="00593EE2" w:rsidRDefault="00593EE2" w:rsidP="00593EE2">
            <w:pPr>
              <w:rPr>
                <w:sz w:val="20"/>
                <w:szCs w:val="20"/>
              </w:rPr>
            </w:pPr>
            <w:r w:rsidRPr="00593EE2">
              <w:rPr>
                <w:sz w:val="20"/>
                <w:szCs w:val="20"/>
              </w:rPr>
              <w:t xml:space="preserve">Протеолитический энзим, </w:t>
            </w:r>
          </w:p>
          <w:p w:rsidR="00593EE2" w:rsidRPr="00593EE2" w:rsidRDefault="00593EE2" w:rsidP="00593EE2">
            <w:pPr>
              <w:rPr>
                <w:sz w:val="20"/>
                <w:szCs w:val="20"/>
              </w:rPr>
            </w:pPr>
            <w:r w:rsidRPr="00593EE2">
              <w:rPr>
                <w:sz w:val="20"/>
                <w:szCs w:val="20"/>
              </w:rPr>
              <w:t>пропиленгликоль,</w:t>
            </w:r>
          </w:p>
          <w:p w:rsidR="00593EE2" w:rsidRPr="00593EE2" w:rsidRDefault="00593EE2" w:rsidP="00593EE2">
            <w:pPr>
              <w:rPr>
                <w:sz w:val="20"/>
                <w:szCs w:val="20"/>
              </w:rPr>
            </w:pPr>
            <w:r w:rsidRPr="00593EE2">
              <w:rPr>
                <w:sz w:val="20"/>
                <w:szCs w:val="20"/>
              </w:rPr>
              <w:t>фиолетовый краситель.</w:t>
            </w:r>
            <w:r w:rsidRPr="00593EE2">
              <w:rPr>
                <w:sz w:val="20"/>
                <w:szCs w:val="20"/>
              </w:rPr>
              <w:br/>
              <w:t xml:space="preserve">Фасовка </w:t>
            </w:r>
            <w:r>
              <w:rPr>
                <w:sz w:val="20"/>
                <w:szCs w:val="20"/>
              </w:rPr>
              <w:t>–</w:t>
            </w:r>
            <w:r w:rsidRPr="00593EE2">
              <w:rPr>
                <w:sz w:val="20"/>
                <w:szCs w:val="20"/>
              </w:rPr>
              <w:t xml:space="preserve"> 1 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93EE2" w:rsidRPr="00593EE2" w:rsidRDefault="00593EE2" w:rsidP="00593EE2">
            <w:pPr>
              <w:pStyle w:val="af9"/>
              <w:jc w:val="center"/>
              <w:rPr>
                <w:rFonts w:ascii="Times New Roman" w:hAnsi="Times New Roman"/>
                <w:sz w:val="20"/>
                <w:szCs w:val="20"/>
              </w:rPr>
            </w:pPr>
            <w:r w:rsidRPr="00593EE2">
              <w:rPr>
                <w:rFonts w:ascii="Times New Roman" w:hAnsi="Times New Roman"/>
                <w:sz w:val="20"/>
                <w:szCs w:val="20"/>
              </w:rPr>
              <w:t>Шт</w:t>
            </w:r>
            <w:r>
              <w:rPr>
                <w:rFonts w:ascii="Times New Roman" w:hAnsi="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93EE2" w:rsidRPr="005707AB" w:rsidRDefault="00593EE2" w:rsidP="005707AB">
            <w:pPr>
              <w:jc w:val="center"/>
              <w:rPr>
                <w:sz w:val="20"/>
                <w:szCs w:val="20"/>
              </w:rPr>
            </w:pPr>
            <w:r>
              <w:rPr>
                <w:sz w:val="20"/>
                <w:szCs w:val="20"/>
              </w:rPr>
              <w:t>25</w:t>
            </w:r>
          </w:p>
        </w:tc>
        <w:tc>
          <w:tcPr>
            <w:tcW w:w="1133" w:type="dxa"/>
            <w:tcBorders>
              <w:top w:val="single" w:sz="4" w:space="0" w:color="auto"/>
              <w:left w:val="nil"/>
              <w:bottom w:val="single" w:sz="4" w:space="0" w:color="auto"/>
              <w:right w:val="single" w:sz="4" w:space="0" w:color="auto"/>
            </w:tcBorders>
          </w:tcPr>
          <w:p w:rsidR="00593EE2" w:rsidRPr="00495A4D" w:rsidRDefault="00593EE2" w:rsidP="00123C79">
            <w:pPr>
              <w:jc w:val="center"/>
              <w:rPr>
                <w:sz w:val="20"/>
                <w:szCs w:val="20"/>
              </w:rPr>
            </w:pPr>
            <w:r>
              <w:rPr>
                <w:sz w:val="20"/>
                <w:szCs w:val="20"/>
              </w:rPr>
              <w:t>3800,00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растворов для гематологического анализатора Mythic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183B30">
        <w:rPr>
          <w:b/>
          <w:kern w:val="32"/>
          <w:sz w:val="20"/>
          <w:szCs w:val="20"/>
        </w:rPr>
        <w:t>151-19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183B30">
        <w:rPr>
          <w:sz w:val="19"/>
          <w:szCs w:val="19"/>
        </w:rPr>
        <w:t>151-19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183B30">
        <w:rPr>
          <w:b/>
          <w:bCs/>
          <w:sz w:val="19"/>
          <w:szCs w:val="19"/>
        </w:rPr>
        <w:t>растворов для гематологического анализатора Mythic 22</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836B25">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BF6F8D" w:rsidRPr="002D56C2">
        <w:rPr>
          <w:sz w:val="19"/>
          <w:szCs w:val="19"/>
        </w:rPr>
        <w:t>форме</w:t>
      </w:r>
      <w:r w:rsidR="00BF6F8D" w:rsidRPr="00C00C53">
        <w:rPr>
          <w:kern w:val="32"/>
          <w:sz w:val="20"/>
          <w:szCs w:val="20"/>
        </w:rPr>
        <w:t>,</w:t>
      </w:r>
      <w:r w:rsidR="00BF6F8D" w:rsidRPr="00C00C53">
        <w:rPr>
          <w:i/>
          <w:kern w:val="32"/>
          <w:sz w:val="20"/>
          <w:szCs w:val="20"/>
        </w:rPr>
        <w:t xml:space="preserve"> </w:t>
      </w:r>
      <w:r w:rsidR="00BF6F8D"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183B30">
        <w:rPr>
          <w:rFonts w:ascii="Times New Roman" w:hAnsi="Times New Roman" w:cs="Times New Roman"/>
          <w:bCs/>
          <w:sz w:val="19"/>
          <w:szCs w:val="19"/>
        </w:rPr>
        <w:t>растворов для гематологического анализатора Mythic 22</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4C0CCD" w:rsidRPr="002D56C2">
        <w:rPr>
          <w:sz w:val="19"/>
          <w:szCs w:val="19"/>
        </w:rPr>
        <w:t>.0</w:t>
      </w:r>
      <w:r w:rsidR="00593EE2">
        <w:rPr>
          <w:sz w:val="19"/>
          <w:szCs w:val="19"/>
        </w:rPr>
        <w:t>3</w:t>
      </w:r>
      <w:r w:rsidRPr="002D56C2">
        <w:rPr>
          <w:sz w:val="19"/>
          <w:szCs w:val="19"/>
        </w:rPr>
        <w:t>.20</w:t>
      </w:r>
      <w:r w:rsidR="00BC0937">
        <w:rPr>
          <w:sz w:val="19"/>
          <w:szCs w:val="19"/>
        </w:rPr>
        <w:t>20</w:t>
      </w:r>
      <w:r w:rsidRPr="002D56C2">
        <w:rPr>
          <w:sz w:val="19"/>
          <w:szCs w:val="19"/>
        </w:rPr>
        <w:t>г. по адресу: г.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183B30">
        <w:rPr>
          <w:sz w:val="20"/>
          <w:szCs w:val="20"/>
        </w:rPr>
        <w:t>151-19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183B30">
        <w:rPr>
          <w:b/>
          <w:sz w:val="20"/>
          <w:szCs w:val="20"/>
        </w:rPr>
        <w:t>растворов для гематологического анализатора Mythic 22</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183B30">
        <w:rPr>
          <w:b/>
          <w:kern w:val="32"/>
          <w:sz w:val="20"/>
          <w:szCs w:val="20"/>
        </w:rPr>
        <w:t>151-19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183B30">
        <w:rPr>
          <w:bCs/>
          <w:sz w:val="20"/>
          <w:szCs w:val="20"/>
        </w:rPr>
        <w:t>растворов для гематологического анализатора Mythic 22</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183B30">
        <w:rPr>
          <w:bCs/>
          <w:sz w:val="20"/>
          <w:szCs w:val="20"/>
        </w:rPr>
        <w:t>растворов для гематологического анализатора Mythic 22</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183B30">
        <w:rPr>
          <w:bCs/>
          <w:sz w:val="20"/>
          <w:szCs w:val="20"/>
        </w:rPr>
        <w:t>растворов для гематологического анализатора Mythic 22</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2019"/>
        <w:gridCol w:w="850"/>
        <w:gridCol w:w="1134"/>
        <w:gridCol w:w="993"/>
        <w:gridCol w:w="992"/>
        <w:gridCol w:w="992"/>
        <w:gridCol w:w="991"/>
      </w:tblGrid>
      <w:tr w:rsidR="000E2F75" w:rsidRPr="00B326C3" w:rsidTr="00BE0069">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E16360" w:rsidP="003C711B">
            <w:pPr>
              <w:jc w:val="center"/>
              <w:rPr>
                <w:sz w:val="20"/>
                <w:szCs w:val="20"/>
              </w:rPr>
            </w:pPr>
            <w:r>
              <w:rPr>
                <w:sz w:val="20"/>
                <w:szCs w:val="20"/>
              </w:rPr>
              <w:t>Н</w:t>
            </w:r>
            <w:r w:rsidR="000E2F75"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E16360">
            <w:pPr>
              <w:jc w:val="center"/>
              <w:rPr>
                <w:sz w:val="20"/>
                <w:szCs w:val="20"/>
              </w:rPr>
            </w:pPr>
            <w:r w:rsidRPr="003D053A">
              <w:rPr>
                <w:sz w:val="20"/>
                <w:szCs w:val="20"/>
              </w:rPr>
              <w:t>Торгов</w:t>
            </w:r>
            <w:r w:rsidR="00E16360">
              <w:rPr>
                <w:sz w:val="20"/>
                <w:szCs w:val="20"/>
              </w:rPr>
              <w:t>ая марка</w:t>
            </w:r>
            <w:r w:rsidR="00DF1491">
              <w:rPr>
                <w:sz w:val="20"/>
                <w:szCs w:val="20"/>
              </w:rPr>
              <w:t xml:space="preserve"> (при наличии)</w:t>
            </w:r>
          </w:p>
        </w:tc>
        <w:tc>
          <w:tcPr>
            <w:tcW w:w="2019"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593EE2"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593EE2" w:rsidRPr="00B326C3" w:rsidRDefault="00593EE2"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Default="003B0577"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F16F15" w:rsidRDefault="00F16F15"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Pr="00472D71" w:rsidRDefault="009E736D" w:rsidP="009E736D">
      <w:pPr>
        <w:jc w:val="right"/>
        <w:rPr>
          <w:rFonts w:ascii="Cuprum" w:hAnsi="Cuprum" w:cs="Tahoma"/>
          <w:b/>
          <w:bCs/>
          <w:sz w:val="20"/>
          <w:szCs w:val="20"/>
          <w:highlight w:val="yellow"/>
        </w:rPr>
      </w:pPr>
      <w:r w:rsidRPr="00472D71">
        <w:rPr>
          <w:rFonts w:ascii="Cuprum" w:hAnsi="Cuprum" w:cs="Tahoma"/>
          <w:b/>
          <w:bCs/>
          <w:sz w:val="20"/>
          <w:szCs w:val="20"/>
          <w:highlight w:val="yellow"/>
        </w:rPr>
        <w:t xml:space="preserve">Приложение № 4 </w:t>
      </w:r>
    </w:p>
    <w:p w:rsidR="00A00D23" w:rsidRPr="00A00D23" w:rsidRDefault="009E736D" w:rsidP="00A00D23">
      <w:pPr>
        <w:jc w:val="right"/>
        <w:rPr>
          <w:b/>
          <w:kern w:val="32"/>
          <w:sz w:val="20"/>
          <w:szCs w:val="20"/>
          <w:highlight w:val="yellow"/>
        </w:rPr>
      </w:pPr>
      <w:r w:rsidRPr="00472D71">
        <w:rPr>
          <w:rFonts w:ascii="Cuprum" w:hAnsi="Cuprum" w:cs="Tahoma"/>
          <w:b/>
          <w:bCs/>
          <w:sz w:val="20"/>
          <w:szCs w:val="20"/>
          <w:highlight w:val="yellow"/>
        </w:rPr>
        <w:t xml:space="preserve">к </w:t>
      </w:r>
      <w:r w:rsidR="00A00D23" w:rsidRPr="00A00D23">
        <w:rPr>
          <w:b/>
          <w:kern w:val="32"/>
          <w:sz w:val="20"/>
          <w:szCs w:val="20"/>
          <w:highlight w:val="yellow"/>
        </w:rPr>
        <w:t>Извещению о проведении закупки</w:t>
      </w:r>
    </w:p>
    <w:p w:rsidR="00A00D23" w:rsidRPr="00A00D23" w:rsidRDefault="00A00D23" w:rsidP="00A00D23">
      <w:pPr>
        <w:jc w:val="right"/>
        <w:rPr>
          <w:b/>
          <w:kern w:val="32"/>
          <w:sz w:val="20"/>
          <w:szCs w:val="20"/>
          <w:highlight w:val="yellow"/>
        </w:rPr>
      </w:pPr>
      <w:r w:rsidRPr="00A00D23">
        <w:rPr>
          <w:b/>
          <w:kern w:val="32"/>
          <w:sz w:val="20"/>
          <w:szCs w:val="20"/>
          <w:highlight w:val="yellow"/>
        </w:rPr>
        <w:t>на</w:t>
      </w:r>
      <w:r w:rsidRPr="00A00D23">
        <w:rPr>
          <w:b/>
          <w:sz w:val="20"/>
          <w:szCs w:val="20"/>
          <w:highlight w:val="yellow"/>
        </w:rPr>
        <w:t xml:space="preserve"> поставку </w:t>
      </w:r>
      <w:r w:rsidR="00183B30">
        <w:rPr>
          <w:b/>
          <w:sz w:val="20"/>
          <w:szCs w:val="20"/>
          <w:highlight w:val="yellow"/>
        </w:rPr>
        <w:t>растворов для гематологического анализатора Mythic 22</w:t>
      </w:r>
    </w:p>
    <w:p w:rsidR="00A00D23" w:rsidRDefault="00A00D23" w:rsidP="00A00D23">
      <w:pPr>
        <w:jc w:val="right"/>
        <w:rPr>
          <w:b/>
          <w:kern w:val="32"/>
          <w:sz w:val="20"/>
          <w:szCs w:val="20"/>
        </w:rPr>
      </w:pPr>
      <w:r w:rsidRPr="00A00D23">
        <w:rPr>
          <w:b/>
          <w:kern w:val="32"/>
          <w:sz w:val="20"/>
          <w:szCs w:val="20"/>
          <w:highlight w:val="yellow"/>
        </w:rPr>
        <w:t>путем запроса котировок в электронной форме,</w:t>
      </w:r>
    </w:p>
    <w:p w:rsidR="009E736D" w:rsidRPr="00472D71" w:rsidRDefault="00A00D23" w:rsidP="00A00D23">
      <w:pPr>
        <w:jc w:val="right"/>
        <w:rPr>
          <w:b/>
          <w:bCs/>
          <w:sz w:val="20"/>
          <w:szCs w:val="20"/>
          <w:highlight w:val="yellow"/>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472D71">
        <w:rPr>
          <w:b/>
          <w:kern w:val="32"/>
          <w:sz w:val="20"/>
          <w:szCs w:val="20"/>
          <w:highlight w:val="yellow"/>
        </w:rPr>
        <w:t xml:space="preserve"> </w:t>
      </w:r>
      <w:r w:rsidR="009E736D" w:rsidRPr="00472D71">
        <w:rPr>
          <w:b/>
          <w:kern w:val="32"/>
          <w:sz w:val="20"/>
          <w:szCs w:val="20"/>
          <w:highlight w:val="yellow"/>
        </w:rPr>
        <w:t xml:space="preserve">№ </w:t>
      </w:r>
      <w:r w:rsidR="00183B30">
        <w:rPr>
          <w:b/>
          <w:kern w:val="32"/>
          <w:sz w:val="20"/>
          <w:szCs w:val="20"/>
          <w:highlight w:val="yellow"/>
        </w:rPr>
        <w:t>151-19</w:t>
      </w:r>
    </w:p>
    <w:p w:rsidR="009E736D" w:rsidRPr="00A00D23" w:rsidRDefault="009E736D" w:rsidP="009E736D">
      <w:pPr>
        <w:spacing w:after="120"/>
        <w:jc w:val="center"/>
        <w:rPr>
          <w:b/>
          <w:bCs/>
          <w:spacing w:val="60"/>
          <w:sz w:val="20"/>
          <w:szCs w:val="20"/>
          <w:highlight w:val="yellow"/>
        </w:rPr>
      </w:pPr>
      <w:r w:rsidRPr="00A00D23">
        <w:rPr>
          <w:b/>
          <w:bCs/>
          <w:spacing w:val="60"/>
          <w:sz w:val="20"/>
          <w:szCs w:val="20"/>
          <w:highlight w:val="yellow"/>
        </w:rPr>
        <w:t>ФОРМА</w:t>
      </w:r>
    </w:p>
    <w:p w:rsidR="009E736D" w:rsidRPr="00A00D23" w:rsidRDefault="009E736D" w:rsidP="009E736D">
      <w:pPr>
        <w:spacing w:after="480"/>
        <w:jc w:val="center"/>
        <w:rPr>
          <w:b/>
          <w:bCs/>
          <w:sz w:val="20"/>
          <w:szCs w:val="20"/>
          <w:highlight w:val="yellow"/>
        </w:rPr>
      </w:pPr>
      <w:r w:rsidRPr="00A00D23">
        <w:rPr>
          <w:b/>
          <w:bCs/>
          <w:sz w:val="20"/>
          <w:szCs w:val="20"/>
          <w:highlight w:val="yellow"/>
        </w:rPr>
        <w:t>декларации о соответствии участника закупки критериям отнесения</w:t>
      </w:r>
      <w:r w:rsidRPr="00A00D23">
        <w:rPr>
          <w:b/>
          <w:bCs/>
          <w:sz w:val="20"/>
          <w:szCs w:val="20"/>
          <w:highlight w:val="yellow"/>
        </w:rPr>
        <w:br/>
        <w:t>к субъектам малого и среднего предпринимательства</w:t>
      </w:r>
    </w:p>
    <w:p w:rsidR="009E736D" w:rsidRPr="00A00D23" w:rsidRDefault="009E736D" w:rsidP="009E736D">
      <w:pPr>
        <w:ind w:firstLine="567"/>
        <w:rPr>
          <w:sz w:val="20"/>
          <w:szCs w:val="20"/>
          <w:highlight w:val="yellow"/>
        </w:rPr>
      </w:pPr>
      <w:r w:rsidRPr="00A00D23">
        <w:rPr>
          <w:sz w:val="20"/>
          <w:szCs w:val="20"/>
          <w:highlight w:val="yellow"/>
        </w:rPr>
        <w:t xml:space="preserve">Подтверждаем, что  </w:t>
      </w:r>
    </w:p>
    <w:p w:rsidR="009E736D" w:rsidRPr="00A00D23" w:rsidRDefault="009E736D" w:rsidP="009E736D">
      <w:pPr>
        <w:pBdr>
          <w:top w:val="single" w:sz="4" w:space="1" w:color="auto"/>
        </w:pBdr>
        <w:spacing w:after="120"/>
        <w:ind w:left="2637"/>
        <w:jc w:val="center"/>
        <w:rPr>
          <w:sz w:val="20"/>
          <w:szCs w:val="20"/>
          <w:highlight w:val="yellow"/>
        </w:rPr>
      </w:pPr>
      <w:r w:rsidRPr="00A00D23">
        <w:rPr>
          <w:sz w:val="20"/>
          <w:szCs w:val="20"/>
          <w:highlight w:val="yellow"/>
        </w:rPr>
        <w:t>(указывается наименование участника закупки)</w:t>
      </w:r>
    </w:p>
    <w:p w:rsidR="009E736D" w:rsidRPr="00A00D23" w:rsidRDefault="009E736D" w:rsidP="009E736D">
      <w:pPr>
        <w:jc w:val="both"/>
        <w:rPr>
          <w:sz w:val="20"/>
          <w:szCs w:val="20"/>
          <w:highlight w:val="yellow"/>
        </w:rPr>
      </w:pPr>
      <w:r w:rsidRPr="00A00D23">
        <w:rPr>
          <w:sz w:val="20"/>
          <w:szCs w:val="20"/>
          <w:highlight w:val="yellow"/>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E736D" w:rsidRPr="00A00D23" w:rsidRDefault="009E736D" w:rsidP="009E736D">
      <w:pPr>
        <w:pBdr>
          <w:top w:val="single" w:sz="4" w:space="1" w:color="auto"/>
        </w:pBdr>
        <w:spacing w:after="120"/>
        <w:ind w:left="2665"/>
        <w:jc w:val="center"/>
        <w:rPr>
          <w:sz w:val="20"/>
          <w:szCs w:val="20"/>
          <w:highlight w:val="yellow"/>
        </w:rPr>
      </w:pPr>
      <w:r w:rsidRPr="00A00D23">
        <w:rPr>
          <w:sz w:val="20"/>
          <w:szCs w:val="20"/>
          <w:highlight w:val="yellow"/>
        </w:rPr>
        <w:t>(указывается субъект малого или среднего предпринимательства</w:t>
      </w:r>
      <w:r w:rsidRPr="00A00D23">
        <w:rPr>
          <w:sz w:val="20"/>
          <w:szCs w:val="20"/>
          <w:highlight w:val="yellow"/>
        </w:rPr>
        <w:br/>
        <w:t>в зависимости от критериев отнесения)</w:t>
      </w:r>
    </w:p>
    <w:p w:rsidR="009E736D" w:rsidRPr="00A00D23" w:rsidRDefault="009E736D" w:rsidP="009E736D">
      <w:pPr>
        <w:rPr>
          <w:sz w:val="20"/>
          <w:szCs w:val="20"/>
          <w:highlight w:val="yellow"/>
        </w:rPr>
      </w:pPr>
      <w:r w:rsidRPr="00A00D23">
        <w:rPr>
          <w:sz w:val="20"/>
          <w:szCs w:val="20"/>
          <w:highlight w:val="yellow"/>
        </w:rPr>
        <w:t>предпринимательства, и сообщаем следующую информацию:</w:t>
      </w:r>
    </w:p>
    <w:p w:rsidR="009E736D" w:rsidRPr="00A00D23" w:rsidRDefault="009E736D" w:rsidP="009E736D">
      <w:pPr>
        <w:ind w:left="567"/>
        <w:rPr>
          <w:sz w:val="20"/>
          <w:szCs w:val="20"/>
          <w:highlight w:val="yellow"/>
        </w:rPr>
      </w:pPr>
      <w:r w:rsidRPr="00A00D23">
        <w:rPr>
          <w:sz w:val="20"/>
          <w:szCs w:val="20"/>
          <w:highlight w:val="yellow"/>
        </w:rPr>
        <w:t xml:space="preserve">1. Адрес местонахождения (юридический адрес):  </w:t>
      </w:r>
    </w:p>
    <w:p w:rsidR="009E736D" w:rsidRPr="00A00D23" w:rsidRDefault="009E736D" w:rsidP="009E736D">
      <w:pPr>
        <w:pBdr>
          <w:top w:val="single" w:sz="4" w:space="1" w:color="auto"/>
        </w:pBdr>
        <w:ind w:left="5755"/>
        <w:rPr>
          <w:sz w:val="20"/>
          <w:szCs w:val="20"/>
          <w:highlight w:val="yellow"/>
        </w:rPr>
      </w:pPr>
    </w:p>
    <w:p w:rsidR="009E736D" w:rsidRPr="00A00D23" w:rsidRDefault="009E736D" w:rsidP="009E736D">
      <w:pPr>
        <w:tabs>
          <w:tab w:val="right" w:pos="9923"/>
        </w:tabs>
        <w:rPr>
          <w:sz w:val="20"/>
          <w:szCs w:val="20"/>
          <w:highlight w:val="yellow"/>
        </w:rPr>
      </w:pPr>
      <w:r w:rsidRPr="00A00D23">
        <w:rPr>
          <w:sz w:val="20"/>
          <w:szCs w:val="20"/>
          <w:highlight w:val="yellow"/>
        </w:rPr>
        <w:tab/>
        <w:t>.</w:t>
      </w:r>
    </w:p>
    <w:p w:rsidR="009E736D" w:rsidRPr="00A00D23" w:rsidRDefault="009E736D" w:rsidP="009E736D">
      <w:pPr>
        <w:pBdr>
          <w:top w:val="single" w:sz="4" w:space="1" w:color="auto"/>
        </w:pBdr>
        <w:ind w:right="113"/>
        <w:rPr>
          <w:sz w:val="20"/>
          <w:szCs w:val="20"/>
          <w:highlight w:val="yellow"/>
        </w:rPr>
      </w:pPr>
    </w:p>
    <w:p w:rsidR="009E736D" w:rsidRPr="00A00D23" w:rsidRDefault="009E736D" w:rsidP="009E736D">
      <w:pPr>
        <w:tabs>
          <w:tab w:val="right" w:pos="9923"/>
        </w:tabs>
        <w:ind w:left="567"/>
        <w:rPr>
          <w:sz w:val="20"/>
          <w:szCs w:val="20"/>
          <w:highlight w:val="yellow"/>
        </w:rPr>
      </w:pPr>
      <w:r w:rsidRPr="00A00D23">
        <w:rPr>
          <w:sz w:val="20"/>
          <w:szCs w:val="20"/>
          <w:highlight w:val="yellow"/>
        </w:rPr>
        <w:t>2.</w:t>
      </w:r>
      <w:r w:rsidRPr="00A00D23">
        <w:rPr>
          <w:sz w:val="20"/>
          <w:szCs w:val="20"/>
          <w:highlight w:val="yellow"/>
          <w:lang w:val="en-US"/>
        </w:rPr>
        <w:t> </w:t>
      </w:r>
      <w:r w:rsidRPr="00A00D23">
        <w:rPr>
          <w:sz w:val="20"/>
          <w:szCs w:val="20"/>
          <w:highlight w:val="yellow"/>
        </w:rPr>
        <w:t xml:space="preserve">ИНН/КПП:  </w:t>
      </w:r>
      <w:r w:rsidRPr="00A00D23">
        <w:rPr>
          <w:sz w:val="20"/>
          <w:szCs w:val="20"/>
          <w:highlight w:val="yellow"/>
        </w:rPr>
        <w:tab/>
        <w:t>.</w:t>
      </w:r>
    </w:p>
    <w:p w:rsidR="009E736D" w:rsidRPr="00A00D23" w:rsidRDefault="009E736D" w:rsidP="009E736D">
      <w:pPr>
        <w:pBdr>
          <w:top w:val="single" w:sz="4" w:space="1" w:color="auto"/>
        </w:pBdr>
        <w:ind w:left="2098" w:right="113"/>
        <w:jc w:val="center"/>
        <w:rPr>
          <w:sz w:val="20"/>
          <w:szCs w:val="20"/>
          <w:highlight w:val="yellow"/>
        </w:rPr>
      </w:pPr>
      <w:r w:rsidRPr="00A00D23">
        <w:rPr>
          <w:sz w:val="20"/>
          <w:szCs w:val="20"/>
          <w:highlight w:val="yellow"/>
        </w:rPr>
        <w:t>(№, сведения о дате выдачи документа и выдавшем его органе)</w:t>
      </w:r>
    </w:p>
    <w:p w:rsidR="009E736D" w:rsidRPr="00A00D23" w:rsidRDefault="009E736D" w:rsidP="009E736D">
      <w:pPr>
        <w:tabs>
          <w:tab w:val="right" w:pos="9923"/>
        </w:tabs>
        <w:ind w:left="567"/>
        <w:rPr>
          <w:sz w:val="20"/>
          <w:szCs w:val="20"/>
          <w:highlight w:val="yellow"/>
        </w:rPr>
      </w:pPr>
      <w:r w:rsidRPr="00A00D23">
        <w:rPr>
          <w:sz w:val="20"/>
          <w:szCs w:val="20"/>
          <w:highlight w:val="yellow"/>
        </w:rPr>
        <w:t xml:space="preserve">3. ОГРН:  </w:t>
      </w:r>
      <w:r w:rsidRPr="00A00D23">
        <w:rPr>
          <w:sz w:val="20"/>
          <w:szCs w:val="20"/>
          <w:highlight w:val="yellow"/>
        </w:rPr>
        <w:tab/>
        <w:t>.</w:t>
      </w:r>
    </w:p>
    <w:p w:rsidR="009E736D" w:rsidRPr="00A00D23" w:rsidRDefault="009E736D" w:rsidP="009E736D">
      <w:pPr>
        <w:pBdr>
          <w:top w:val="single" w:sz="4" w:space="1" w:color="auto"/>
        </w:pBdr>
        <w:ind w:left="1616" w:right="113"/>
        <w:rPr>
          <w:sz w:val="20"/>
          <w:szCs w:val="20"/>
          <w:highlight w:val="yellow"/>
        </w:rPr>
      </w:pPr>
    </w:p>
    <w:p w:rsidR="009E736D" w:rsidRPr="00A00D23" w:rsidRDefault="009E736D" w:rsidP="009E736D">
      <w:pPr>
        <w:ind w:left="567" w:right="113"/>
        <w:rPr>
          <w:sz w:val="20"/>
          <w:szCs w:val="20"/>
          <w:highlight w:val="yellow"/>
        </w:rPr>
      </w:pPr>
      <w:r w:rsidRPr="00A00D23">
        <w:rPr>
          <w:sz w:val="20"/>
          <w:szCs w:val="20"/>
          <w:highlight w:val="yellow"/>
        </w:rPr>
        <w:t>4. Исключен.</w:t>
      </w:r>
    </w:p>
    <w:p w:rsidR="009E736D" w:rsidRPr="00A00D23" w:rsidRDefault="009E736D" w:rsidP="009E736D">
      <w:pPr>
        <w:spacing w:after="120"/>
        <w:ind w:firstLine="567"/>
        <w:jc w:val="both"/>
        <w:rPr>
          <w:sz w:val="20"/>
          <w:szCs w:val="20"/>
          <w:highlight w:val="yellow"/>
        </w:rPr>
      </w:pPr>
      <w:r w:rsidRPr="00A00D23">
        <w:rPr>
          <w:sz w:val="20"/>
          <w:szCs w:val="20"/>
          <w:highlight w:val="yellow"/>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00D23">
        <w:rPr>
          <w:rStyle w:val="afe"/>
          <w:sz w:val="20"/>
          <w:szCs w:val="20"/>
        </w:rPr>
        <w:endnoteReference w:customMarkFollows="1" w:id="2"/>
        <w:t>1</w:t>
      </w:r>
      <w:r w:rsidRPr="00A00D23">
        <w:rPr>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649"/>
        <w:gridCol w:w="1588"/>
        <w:gridCol w:w="1588"/>
        <w:gridCol w:w="1588"/>
      </w:tblGrid>
      <w:tr w:rsidR="009E736D" w:rsidRPr="00A00D23" w:rsidTr="009E736D">
        <w:trPr>
          <w:cantSplit/>
          <w:tblHeader/>
        </w:trPr>
        <w:tc>
          <w:tcPr>
            <w:tcW w:w="567" w:type="dxa"/>
            <w:vAlign w:val="center"/>
          </w:tcPr>
          <w:p w:rsidR="009E736D" w:rsidRPr="00A00D23" w:rsidRDefault="009E736D" w:rsidP="009E736D">
            <w:pPr>
              <w:jc w:val="center"/>
              <w:rPr>
                <w:sz w:val="20"/>
                <w:szCs w:val="20"/>
                <w:highlight w:val="yellow"/>
              </w:rPr>
            </w:pPr>
            <w:r w:rsidRPr="00A00D23">
              <w:rPr>
                <w:sz w:val="20"/>
                <w:szCs w:val="20"/>
                <w:highlight w:val="yellow"/>
              </w:rPr>
              <w:t>№ п/п</w:t>
            </w:r>
          </w:p>
        </w:tc>
        <w:tc>
          <w:tcPr>
            <w:tcW w:w="4649" w:type="dxa"/>
            <w:vAlign w:val="center"/>
          </w:tcPr>
          <w:p w:rsidR="009E736D" w:rsidRPr="00A00D23" w:rsidRDefault="009E736D" w:rsidP="009E736D">
            <w:pPr>
              <w:jc w:val="center"/>
              <w:rPr>
                <w:sz w:val="20"/>
                <w:szCs w:val="20"/>
                <w:highlight w:val="yellow"/>
              </w:rPr>
            </w:pPr>
            <w:r w:rsidRPr="00A00D23">
              <w:rPr>
                <w:sz w:val="20"/>
                <w:szCs w:val="20"/>
                <w:highlight w:val="yellow"/>
              </w:rPr>
              <w:t>Наименование сведений</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Малые предприятия</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Средние предприятия</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Показатель</w:t>
            </w:r>
          </w:p>
        </w:tc>
      </w:tr>
      <w:tr w:rsidR="009E736D" w:rsidRPr="00A00D23" w:rsidTr="009E736D">
        <w:trPr>
          <w:cantSplit/>
          <w:tblHeader/>
        </w:trPr>
        <w:tc>
          <w:tcPr>
            <w:tcW w:w="567" w:type="dxa"/>
          </w:tcPr>
          <w:p w:rsidR="009E736D" w:rsidRPr="00A00D23" w:rsidRDefault="009E736D" w:rsidP="009E736D">
            <w:pPr>
              <w:jc w:val="center"/>
              <w:rPr>
                <w:sz w:val="20"/>
                <w:szCs w:val="20"/>
                <w:highlight w:val="yellow"/>
              </w:rPr>
            </w:pPr>
            <w:r w:rsidRPr="00A00D23">
              <w:rPr>
                <w:sz w:val="20"/>
                <w:szCs w:val="20"/>
                <w:highlight w:val="yellow"/>
              </w:rPr>
              <w:t xml:space="preserve">1 </w:t>
            </w:r>
            <w:r w:rsidRPr="00A00D23">
              <w:rPr>
                <w:rStyle w:val="afe"/>
                <w:sz w:val="20"/>
                <w:szCs w:val="20"/>
              </w:rPr>
              <w:endnoteReference w:customMarkFollows="1" w:id="3"/>
              <w:t>2</w:t>
            </w:r>
          </w:p>
        </w:tc>
        <w:tc>
          <w:tcPr>
            <w:tcW w:w="4649" w:type="dxa"/>
          </w:tcPr>
          <w:p w:rsidR="009E736D" w:rsidRPr="00A00D23" w:rsidRDefault="009E736D" w:rsidP="009E736D">
            <w:pPr>
              <w:jc w:val="center"/>
              <w:rPr>
                <w:sz w:val="20"/>
                <w:szCs w:val="20"/>
                <w:highlight w:val="yellow"/>
              </w:rPr>
            </w:pPr>
            <w:r w:rsidRPr="00A00D23">
              <w:rPr>
                <w:sz w:val="20"/>
                <w:szCs w:val="20"/>
                <w:highlight w:val="yellow"/>
              </w:rPr>
              <w:t>2</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3</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4</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5</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9E736D" w:rsidRPr="00A00D23" w:rsidRDefault="009E736D" w:rsidP="009E736D">
            <w:pPr>
              <w:jc w:val="center"/>
              <w:rPr>
                <w:sz w:val="20"/>
                <w:szCs w:val="20"/>
                <w:highlight w:val="yellow"/>
              </w:rPr>
            </w:pPr>
            <w:r w:rsidRPr="00A00D23">
              <w:rPr>
                <w:sz w:val="20"/>
                <w:szCs w:val="20"/>
                <w:highlight w:val="yellow"/>
              </w:rPr>
              <w:t>не более 25</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sym w:font="Symbol" w:char="F02D"/>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2</w:t>
            </w:r>
          </w:p>
        </w:tc>
        <w:tc>
          <w:tcPr>
            <w:tcW w:w="4649" w:type="dxa"/>
          </w:tcPr>
          <w:p w:rsidR="009E736D" w:rsidRPr="00A00D23" w:rsidRDefault="009E736D" w:rsidP="009E736D">
            <w:pPr>
              <w:ind w:left="57"/>
              <w:rPr>
                <w:sz w:val="20"/>
                <w:szCs w:val="20"/>
                <w:highlight w:val="yellow"/>
              </w:rPr>
            </w:pPr>
            <w:r w:rsidRPr="00A00D23">
              <w:rPr>
                <w:sz w:val="20"/>
                <w:szCs w:val="20"/>
                <w:highlight w:val="yellow"/>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A00D23">
              <w:rPr>
                <w:rStyle w:val="afe"/>
                <w:sz w:val="20"/>
                <w:szCs w:val="20"/>
              </w:rPr>
              <w:endnoteReference w:customMarkFollows="1" w:id="4"/>
              <w:t>3</w:t>
            </w:r>
            <w:r w:rsidRPr="00A00D23">
              <w:rPr>
                <w:sz w:val="20"/>
                <w:szCs w:val="20"/>
                <w:highlight w:val="yellow"/>
              </w:rPr>
              <w:t>, процентов</w:t>
            </w:r>
          </w:p>
        </w:tc>
        <w:tc>
          <w:tcPr>
            <w:tcW w:w="3176" w:type="dxa"/>
            <w:gridSpan w:val="2"/>
          </w:tcPr>
          <w:p w:rsidR="009E736D" w:rsidRPr="00A00D23" w:rsidRDefault="009E736D" w:rsidP="009E736D">
            <w:pPr>
              <w:jc w:val="center"/>
              <w:rPr>
                <w:sz w:val="20"/>
                <w:szCs w:val="20"/>
                <w:highlight w:val="yellow"/>
              </w:rPr>
            </w:pPr>
            <w:r w:rsidRPr="00A00D23">
              <w:rPr>
                <w:sz w:val="20"/>
                <w:szCs w:val="20"/>
                <w:highlight w:val="yellow"/>
              </w:rPr>
              <w:t>не более 49</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sym w:font="Symbol" w:char="F02D"/>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3</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4</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5</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6</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Height w:val="654"/>
        </w:trPr>
        <w:tc>
          <w:tcPr>
            <w:tcW w:w="567" w:type="dxa"/>
            <w:vMerge w:val="restart"/>
          </w:tcPr>
          <w:p w:rsidR="009E736D" w:rsidRPr="00A00D23" w:rsidRDefault="009E736D" w:rsidP="009E736D">
            <w:pPr>
              <w:jc w:val="center"/>
              <w:rPr>
                <w:sz w:val="20"/>
                <w:szCs w:val="20"/>
                <w:highlight w:val="yellow"/>
              </w:rPr>
            </w:pPr>
            <w:r w:rsidRPr="00A00D23">
              <w:rPr>
                <w:sz w:val="20"/>
                <w:szCs w:val="20"/>
                <w:highlight w:val="yellow"/>
              </w:rPr>
              <w:t>7</w:t>
            </w:r>
          </w:p>
        </w:tc>
        <w:tc>
          <w:tcPr>
            <w:tcW w:w="4649" w:type="dxa"/>
            <w:vMerge w:val="restart"/>
          </w:tcPr>
          <w:p w:rsidR="009E736D" w:rsidRPr="00A00D23" w:rsidRDefault="009E736D" w:rsidP="009E736D">
            <w:pPr>
              <w:ind w:left="57"/>
              <w:rPr>
                <w:sz w:val="20"/>
                <w:szCs w:val="20"/>
                <w:highlight w:val="yellow"/>
              </w:rPr>
            </w:pPr>
            <w:r w:rsidRPr="00A00D23">
              <w:rPr>
                <w:sz w:val="20"/>
                <w:szCs w:val="20"/>
                <w:highlight w:val="yellow"/>
              </w:rPr>
              <w:t>Среднесписочная численность работников за предшествующий календарный год, человек</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до 100 включительно</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от 101 до 250 включительно</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указывается количество человек</w:t>
            </w:r>
            <w:r w:rsidRPr="00A00D23">
              <w:rPr>
                <w:sz w:val="20"/>
                <w:szCs w:val="20"/>
                <w:highlight w:val="yellow"/>
              </w:rPr>
              <w:br/>
              <w:t>(за предшест</w:t>
            </w:r>
            <w:r w:rsidRPr="00A00D23">
              <w:rPr>
                <w:sz w:val="20"/>
                <w:szCs w:val="20"/>
                <w:highlight w:val="yellow"/>
              </w:rPr>
              <w:softHyphen/>
              <w:t>вующий календарный год)</w:t>
            </w:r>
          </w:p>
        </w:tc>
      </w:tr>
      <w:tr w:rsidR="009E736D" w:rsidRPr="00A00D23" w:rsidTr="009E736D">
        <w:trPr>
          <w:cantSplit/>
        </w:trPr>
        <w:tc>
          <w:tcPr>
            <w:tcW w:w="567" w:type="dxa"/>
            <w:vMerge/>
          </w:tcPr>
          <w:p w:rsidR="009E736D" w:rsidRPr="00A00D23" w:rsidRDefault="009E736D" w:rsidP="009E736D">
            <w:pPr>
              <w:jc w:val="center"/>
              <w:rPr>
                <w:sz w:val="20"/>
                <w:szCs w:val="20"/>
                <w:highlight w:val="yellow"/>
              </w:rPr>
            </w:pPr>
          </w:p>
        </w:tc>
        <w:tc>
          <w:tcPr>
            <w:tcW w:w="4649" w:type="dxa"/>
            <w:vMerge/>
          </w:tcPr>
          <w:p w:rsidR="009E736D" w:rsidRPr="00A00D23" w:rsidRDefault="009E736D" w:rsidP="009E736D">
            <w:pPr>
              <w:ind w:left="57"/>
              <w:rPr>
                <w:sz w:val="20"/>
                <w:szCs w:val="20"/>
                <w:highlight w:val="yellow"/>
              </w:rPr>
            </w:pPr>
          </w:p>
        </w:tc>
        <w:tc>
          <w:tcPr>
            <w:tcW w:w="1588" w:type="dxa"/>
          </w:tcPr>
          <w:p w:rsidR="009E736D" w:rsidRPr="00A00D23" w:rsidRDefault="009E736D" w:rsidP="009E736D">
            <w:pPr>
              <w:jc w:val="center"/>
              <w:rPr>
                <w:sz w:val="20"/>
                <w:szCs w:val="20"/>
                <w:highlight w:val="yellow"/>
              </w:rPr>
            </w:pPr>
            <w:r w:rsidRPr="00A00D23">
              <w:rPr>
                <w:sz w:val="20"/>
                <w:szCs w:val="20"/>
                <w:highlight w:val="yellow"/>
              </w:rPr>
              <w:t>до 15 – микропред</w:t>
            </w:r>
            <w:r w:rsidRPr="00A00D23">
              <w:rPr>
                <w:sz w:val="20"/>
                <w:szCs w:val="20"/>
                <w:highlight w:val="yellow"/>
              </w:rPr>
              <w:softHyphen/>
              <w:t>приятие</w:t>
            </w:r>
          </w:p>
        </w:tc>
        <w:tc>
          <w:tcPr>
            <w:tcW w:w="1588" w:type="dxa"/>
            <w:vMerge/>
          </w:tcPr>
          <w:p w:rsidR="009E736D" w:rsidRPr="00A00D23" w:rsidRDefault="009E736D" w:rsidP="009E736D">
            <w:pPr>
              <w:rPr>
                <w:sz w:val="20"/>
                <w:szCs w:val="20"/>
                <w:highlight w:val="yellow"/>
              </w:rPr>
            </w:pPr>
          </w:p>
        </w:tc>
        <w:tc>
          <w:tcPr>
            <w:tcW w:w="1588" w:type="dxa"/>
            <w:vMerge/>
          </w:tcPr>
          <w:p w:rsidR="009E736D" w:rsidRPr="00A00D23" w:rsidRDefault="009E736D" w:rsidP="009E736D">
            <w:pPr>
              <w:ind w:left="57"/>
              <w:rPr>
                <w:sz w:val="20"/>
                <w:szCs w:val="20"/>
                <w:highlight w:val="yellow"/>
              </w:rPr>
            </w:pPr>
          </w:p>
        </w:tc>
      </w:tr>
      <w:tr w:rsidR="009E736D" w:rsidRPr="00A00D23" w:rsidTr="009E736D">
        <w:trPr>
          <w:cantSplit/>
          <w:trHeight w:val="425"/>
        </w:trPr>
        <w:tc>
          <w:tcPr>
            <w:tcW w:w="567" w:type="dxa"/>
            <w:vMerge w:val="restart"/>
          </w:tcPr>
          <w:p w:rsidR="009E736D" w:rsidRPr="00A00D23" w:rsidRDefault="009E736D" w:rsidP="009E736D">
            <w:pPr>
              <w:jc w:val="center"/>
              <w:rPr>
                <w:sz w:val="20"/>
                <w:szCs w:val="20"/>
                <w:highlight w:val="yellow"/>
              </w:rPr>
            </w:pPr>
            <w:r w:rsidRPr="00A00D23">
              <w:rPr>
                <w:sz w:val="20"/>
                <w:szCs w:val="20"/>
                <w:highlight w:val="yellow"/>
              </w:rPr>
              <w:t>8</w:t>
            </w:r>
          </w:p>
        </w:tc>
        <w:tc>
          <w:tcPr>
            <w:tcW w:w="4649" w:type="dxa"/>
            <w:vMerge w:val="restart"/>
          </w:tcPr>
          <w:p w:rsidR="009E736D" w:rsidRPr="00A00D23" w:rsidRDefault="009E736D" w:rsidP="009E736D">
            <w:pPr>
              <w:ind w:left="57"/>
              <w:rPr>
                <w:sz w:val="20"/>
                <w:szCs w:val="20"/>
                <w:highlight w:val="yellow"/>
              </w:rPr>
            </w:pPr>
            <w:r w:rsidRPr="00A00D23">
              <w:rPr>
                <w:sz w:val="20"/>
                <w:szCs w:val="20"/>
                <w:highlight w:val="yellow"/>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800</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2000</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указывается в млн. рублей</w:t>
            </w:r>
            <w:r w:rsidRPr="00A00D23">
              <w:rPr>
                <w:sz w:val="20"/>
                <w:szCs w:val="20"/>
                <w:highlight w:val="yellow"/>
              </w:rPr>
              <w:br/>
              <w:t>(за предшест</w:t>
            </w:r>
            <w:r w:rsidRPr="00A00D23">
              <w:rPr>
                <w:sz w:val="20"/>
                <w:szCs w:val="20"/>
                <w:highlight w:val="yellow"/>
              </w:rPr>
              <w:softHyphen/>
              <w:t>вующий календарный год)</w:t>
            </w:r>
          </w:p>
        </w:tc>
      </w:tr>
      <w:tr w:rsidR="009E736D" w:rsidRPr="00A00D23" w:rsidTr="009E736D">
        <w:trPr>
          <w:cantSplit/>
        </w:trPr>
        <w:tc>
          <w:tcPr>
            <w:tcW w:w="567" w:type="dxa"/>
            <w:vMerge/>
          </w:tcPr>
          <w:p w:rsidR="009E736D" w:rsidRPr="00A00D23" w:rsidRDefault="009E736D" w:rsidP="009E736D">
            <w:pPr>
              <w:jc w:val="center"/>
              <w:rPr>
                <w:sz w:val="20"/>
                <w:szCs w:val="20"/>
                <w:highlight w:val="yellow"/>
              </w:rPr>
            </w:pPr>
          </w:p>
        </w:tc>
        <w:tc>
          <w:tcPr>
            <w:tcW w:w="4649" w:type="dxa"/>
            <w:vMerge/>
          </w:tcPr>
          <w:p w:rsidR="009E736D" w:rsidRPr="00A00D23" w:rsidRDefault="009E736D" w:rsidP="009E736D">
            <w:pPr>
              <w:rPr>
                <w:sz w:val="20"/>
                <w:szCs w:val="20"/>
                <w:highlight w:val="yellow"/>
              </w:rPr>
            </w:pPr>
          </w:p>
        </w:tc>
        <w:tc>
          <w:tcPr>
            <w:tcW w:w="1588" w:type="dxa"/>
          </w:tcPr>
          <w:p w:rsidR="009E736D" w:rsidRPr="00A00D23" w:rsidRDefault="009E736D" w:rsidP="009E736D">
            <w:pPr>
              <w:jc w:val="center"/>
              <w:rPr>
                <w:sz w:val="20"/>
                <w:szCs w:val="20"/>
                <w:highlight w:val="yellow"/>
              </w:rPr>
            </w:pPr>
            <w:r w:rsidRPr="00A00D23">
              <w:rPr>
                <w:sz w:val="20"/>
                <w:szCs w:val="20"/>
                <w:highlight w:val="yellow"/>
              </w:rPr>
              <w:t>120 в год – микро</w:t>
            </w:r>
            <w:r w:rsidRPr="00A00D23">
              <w:rPr>
                <w:sz w:val="20"/>
                <w:szCs w:val="20"/>
                <w:highlight w:val="yellow"/>
              </w:rPr>
              <w:softHyphen/>
              <w:t>предприятие</w:t>
            </w:r>
          </w:p>
        </w:tc>
        <w:tc>
          <w:tcPr>
            <w:tcW w:w="1588" w:type="dxa"/>
            <w:vMerge/>
          </w:tcPr>
          <w:p w:rsidR="009E736D" w:rsidRPr="00A00D23" w:rsidRDefault="009E736D" w:rsidP="009E736D">
            <w:pPr>
              <w:rPr>
                <w:sz w:val="20"/>
                <w:szCs w:val="20"/>
                <w:highlight w:val="yellow"/>
              </w:rPr>
            </w:pPr>
          </w:p>
        </w:tc>
        <w:tc>
          <w:tcPr>
            <w:tcW w:w="1588" w:type="dxa"/>
            <w:vMerge/>
          </w:tcPr>
          <w:p w:rsidR="009E736D" w:rsidRPr="00A00D23" w:rsidRDefault="009E736D" w:rsidP="009E736D">
            <w:pPr>
              <w:ind w:left="57"/>
              <w:rPr>
                <w:sz w:val="20"/>
                <w:szCs w:val="20"/>
                <w:highlight w:val="yellow"/>
              </w:rPr>
            </w:pP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9</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10</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11</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12</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13</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r w:rsidRPr="00A00D23">
              <w:rPr>
                <w:sz w:val="20"/>
                <w:szCs w:val="20"/>
                <w:highlight w:val="yellow"/>
              </w:rPr>
              <w:br/>
              <w:t xml:space="preserve">(в случае участия </w:t>
            </w:r>
            <w:r w:rsidRPr="00A00D23">
              <w:rPr>
                <w:sz w:val="20"/>
                <w:szCs w:val="20"/>
                <w:highlight w:val="yellow"/>
              </w:rPr>
              <w:sym w:font="Symbol" w:char="F02D"/>
            </w:r>
            <w:r w:rsidRPr="00A00D23">
              <w:rPr>
                <w:sz w:val="20"/>
                <w:szCs w:val="20"/>
                <w:highlight w:val="yellow"/>
              </w:rPr>
              <w:t xml:space="preserve"> наименование заказчика, реализующего программу партнерства)</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14</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r w:rsidRPr="00A00D23">
              <w:rPr>
                <w:sz w:val="20"/>
                <w:szCs w:val="20"/>
                <w:highlight w:val="yellow"/>
              </w:rPr>
              <w:br/>
              <w:t xml:space="preserve">(при наличии </w:t>
            </w:r>
            <w:r w:rsidRPr="00A00D23">
              <w:rPr>
                <w:sz w:val="20"/>
                <w:szCs w:val="20"/>
                <w:highlight w:val="yellow"/>
              </w:rPr>
              <w:sym w:font="Symbol" w:char="F02D"/>
            </w:r>
            <w:r w:rsidRPr="00A00D23">
              <w:rPr>
                <w:sz w:val="20"/>
                <w:szCs w:val="20"/>
                <w:highlight w:val="yellow"/>
              </w:rPr>
              <w:t xml:space="preserve"> количество исполненных контрактов или договоров и общая сумма)</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15</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16</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bl>
    <w:p w:rsidR="009E736D" w:rsidRPr="00A00D23" w:rsidRDefault="009E736D" w:rsidP="009E736D">
      <w:pPr>
        <w:spacing w:before="240"/>
        <w:ind w:right="5954"/>
        <w:jc w:val="center"/>
        <w:rPr>
          <w:sz w:val="20"/>
          <w:szCs w:val="20"/>
          <w:highlight w:val="yellow"/>
        </w:rPr>
      </w:pPr>
    </w:p>
    <w:p w:rsidR="009E736D" w:rsidRPr="00A00D23" w:rsidRDefault="009E736D" w:rsidP="009E736D">
      <w:pPr>
        <w:pBdr>
          <w:top w:val="single" w:sz="4" w:space="1" w:color="auto"/>
        </w:pBdr>
        <w:ind w:right="5952"/>
        <w:jc w:val="center"/>
        <w:rPr>
          <w:sz w:val="20"/>
          <w:szCs w:val="20"/>
          <w:highlight w:val="yellow"/>
        </w:rPr>
      </w:pPr>
      <w:r w:rsidRPr="00A00D23">
        <w:rPr>
          <w:sz w:val="20"/>
          <w:szCs w:val="20"/>
          <w:highlight w:val="yellow"/>
        </w:rPr>
        <w:t>(подпись)</w:t>
      </w:r>
    </w:p>
    <w:p w:rsidR="009E736D" w:rsidRPr="00A00D23" w:rsidRDefault="009E736D" w:rsidP="009E736D">
      <w:pPr>
        <w:spacing w:after="240"/>
        <w:rPr>
          <w:sz w:val="20"/>
          <w:szCs w:val="20"/>
          <w:highlight w:val="yellow"/>
        </w:rPr>
      </w:pPr>
      <w:r w:rsidRPr="00A00D23">
        <w:rPr>
          <w:sz w:val="20"/>
          <w:szCs w:val="20"/>
          <w:highlight w:val="yellow"/>
        </w:rPr>
        <w:t>М.П.</w:t>
      </w:r>
    </w:p>
    <w:p w:rsidR="009E736D" w:rsidRPr="00A00D23" w:rsidRDefault="009E736D" w:rsidP="009E736D">
      <w:pPr>
        <w:rPr>
          <w:sz w:val="20"/>
          <w:szCs w:val="20"/>
          <w:highlight w:val="yellow"/>
        </w:rPr>
      </w:pPr>
    </w:p>
    <w:p w:rsidR="009E736D" w:rsidRPr="00A00D23" w:rsidRDefault="009E736D" w:rsidP="009E736D">
      <w:pPr>
        <w:pBdr>
          <w:top w:val="single" w:sz="4" w:space="1" w:color="auto"/>
        </w:pBdr>
        <w:jc w:val="center"/>
        <w:rPr>
          <w:sz w:val="20"/>
          <w:szCs w:val="20"/>
        </w:rPr>
      </w:pPr>
      <w:r w:rsidRPr="00A00D23">
        <w:rPr>
          <w:sz w:val="20"/>
          <w:szCs w:val="20"/>
          <w:highlight w:val="yellow"/>
        </w:rPr>
        <w:t>(фамилия, имя, отчество (при наличии) подписавшего, должность)</w:t>
      </w:r>
    </w:p>
    <w:p w:rsidR="009E736D" w:rsidRPr="00A00D23" w:rsidRDefault="009E736D" w:rsidP="009E736D">
      <w:pPr>
        <w:rPr>
          <w:sz w:val="20"/>
          <w:szCs w:val="20"/>
        </w:rPr>
      </w:pPr>
    </w:p>
    <w:p w:rsidR="009E736D" w:rsidRPr="00A00D23" w:rsidRDefault="009E736D" w:rsidP="003B0577">
      <w:pPr>
        <w:jc w:val="both"/>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C2" w:rsidRDefault="00BF60C2" w:rsidP="00ED57EB">
      <w:r>
        <w:separator/>
      </w:r>
    </w:p>
  </w:endnote>
  <w:endnote w:type="continuationSeparator" w:id="1">
    <w:p w:rsidR="00BF60C2" w:rsidRDefault="00BF60C2" w:rsidP="00ED57EB">
      <w:r>
        <w:continuationSeparator/>
      </w:r>
    </w:p>
  </w:endnote>
  <w:endnote w:id="2">
    <w:p w:rsidR="00183B30" w:rsidRDefault="00183B30" w:rsidP="009E736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183B30" w:rsidRDefault="00183B30" w:rsidP="009E736D">
      <w:pPr>
        <w:pStyle w:val="afc"/>
        <w:ind w:firstLine="567"/>
      </w:pPr>
      <w:r>
        <w:rPr>
          <w:rStyle w:val="afe"/>
        </w:rPr>
        <w:t>2</w:t>
      </w:r>
      <w:r>
        <w:t> Пункты 1 - 11 настоящего документа являются обязательными для заполнения.</w:t>
      </w:r>
    </w:p>
  </w:endnote>
  <w:endnote w:id="4">
    <w:p w:rsidR="00183B30" w:rsidRDefault="00183B30" w:rsidP="009E736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183B30" w:rsidRDefault="00810AEE">
        <w:pPr>
          <w:pStyle w:val="af7"/>
          <w:jc w:val="right"/>
        </w:pPr>
        <w:fldSimple w:instr=" PAGE   \* MERGEFORMAT ">
          <w:r w:rsidR="00836B25">
            <w:rPr>
              <w:noProof/>
            </w:rPr>
            <w:t>18</w:t>
          </w:r>
        </w:fldSimple>
      </w:p>
    </w:sdtContent>
  </w:sdt>
  <w:p w:rsidR="00183B30" w:rsidRDefault="00183B3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C2" w:rsidRDefault="00BF60C2" w:rsidP="00ED57EB">
      <w:r>
        <w:separator/>
      </w:r>
    </w:p>
  </w:footnote>
  <w:footnote w:type="continuationSeparator" w:id="1">
    <w:p w:rsidR="00BF60C2" w:rsidRDefault="00BF60C2" w:rsidP="00ED57EB">
      <w:r>
        <w:continuationSeparator/>
      </w:r>
    </w:p>
  </w:footnote>
  <w:footnote w:id="2">
    <w:p w:rsidR="00183B30" w:rsidRPr="000C36EF" w:rsidRDefault="00183B30"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183B30" w:rsidRPr="004B5113" w:rsidRDefault="00183B30"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3FDA"/>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0AEE"/>
    <w:rsid w:val="00813379"/>
    <w:rsid w:val="008170FD"/>
    <w:rsid w:val="00821901"/>
    <w:rsid w:val="00821D56"/>
    <w:rsid w:val="00822DFE"/>
    <w:rsid w:val="0082390A"/>
    <w:rsid w:val="00824B16"/>
    <w:rsid w:val="008356FB"/>
    <w:rsid w:val="008358C2"/>
    <w:rsid w:val="0083650B"/>
    <w:rsid w:val="00836B25"/>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BF6F8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11457</Words>
  <Characters>83308</Characters>
  <Application>Microsoft Office Word</Application>
  <DocSecurity>0</DocSecurity>
  <Lines>694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94576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5</cp:revision>
  <cp:lastPrinted>2019-08-20T02:17:00Z</cp:lastPrinted>
  <dcterms:created xsi:type="dcterms:W3CDTF">2019-08-20T02:42:00Z</dcterms:created>
  <dcterms:modified xsi:type="dcterms:W3CDTF">2019-08-20T03:43:00Z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